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SYM</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3  |  Dismissed: 2</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0.2932  |  Complexity: 0.1032</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0.3111  |  Complexity: 0.1051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-0.0179  |  Complexity: -0.0019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Symbotic Inc. (SYM) presents low supply chain disclosure risk based on both the Claude Analysis (LOW) and FinBERT statistical (LOW) signals, which are fully aligned. The company's vagueness score of 0.29 sits well below the sector mean of 0.51, placing it in the most transparent quartile among 185 peers. The primary concern is SYM's complete omission of tariff and trade policy discussion despite being a hardware-intensive automation company. Maintain routine monitoring cadence; no escalation warranted at this time.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SYM's FinBERT vagueness scores have declined steadily from 0.86 (December 2023) to 0.29 (August 2025), a trajectory reflecting meaningfully improving disclosure transparency. At 0.21 standard deviations below the sector mean, SYM ranks in the bottom quartile for vagueness — a favorable position. The most recent quarter-over-quarter change of -0.018 in vagueness continues this positive trend. Complexity scores remain stable and unremarkable near 0.10.</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SYM's complete absence of tariff and trade policy risk discussion. As a hardware-intensive warehouse automation company with acknowledged foreign subsidiaries and likely international component sourcing, the current macro environment warrants at minimum a qualitative assessment of supply chain tariff exposure. Peer ESAB, for instance, provides quantified FX impacts and specific tariff commentary, while SYM limits its geopolitical disclosure to a single generic reference to "foreign currency transaction gains and losses associated with monetary assets and liabilities" (see 10-K filed 2024-12-04, p.70). This gap is notable even accounting for SYM's predominantly domestic revenue base.</w:t>
      </w:r>
    </w:p>
    <w:p>
      <w:pPr>
        <w:spacing w:after="120" w:before="40"/>
      </w:pPr>
      <w:r>
        <w:rPr>
          <w:rFonts w:ascii="Arial" w:hAnsi="Arial"/>
          <w:i w:val="0"/>
          <w:color w:val="000000"/>
          <w:sz w:val="18"/>
        </w:rPr>
        <w:t>A secondary concern involves reduced specificity in the liquidity section. The prior filing cross-referenced operating lease cash requirements and attributed cash needs to specific categories including inventory purchases and strategic investments; the current filing simplifies this to a vendor commitments table without equivalent context (see 10-Q filed 2025-08-06, p.39). This coincides with a $177M decline in the cash balance to $777.6M against $871.8M in vendor commitments. Additionally, the prior period's explicit disclosure of internal controls remediation costs within professional services fees has disappeared , removing visibility into whether remediation efforts remain ongoing.</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SYM's vagueness score of 0.29 compares favorably to the sector P25 threshold of 0.42, placing it among the most transparent filers in its universe. However, peer comparison limitations exist: the flagged peers (ESAB, NDSN) have substantially greater international exposure, which naturally generates more geopolitical disclosure. The tariff discussion gap may partly reflect genuine business model differences rather than evasion.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SYM's most recent earnings call transcript for any tariff or trade policy commentary absent from the 10-Q, as management may be addressing these risks verbally without formalizing them in filings. Second, assess SYM's bill-of-materials exposure to tariff-affected imports — particularly robotics components, sensors, and electronics sourced from China — through supplier databases and trade data. Third, verify that operating lease obligations remain fully disclosed in Note 5 and that the internal controls remediation referenced in prior periods has been formally resolved.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