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TACT</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2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2025-08-12)</w:t>
            </w:r>
          </w:p>
        </w:tc>
        <w:tc>
          <w:tcPr>
            <w:tcW w:type="dxa" w:w="7200"/>
          </w:tcPr>
          <w:p>
            <w:pPr>
              <w:spacing w:before="60" w:after="60"/>
            </w:pPr>
            <w:r>
              <w:rPr>
                <w:rFonts w:ascii="Arial" w:hAnsi="Arial"/>
                <w:sz w:val="17"/>
              </w:rPr>
              <w:t>Vagueness: 0.2093  |  Complexity: 0.0146</w:t>
            </w:r>
          </w:p>
        </w:tc>
      </w:tr>
      <w:tr>
        <w:tc>
          <w:tcPr>
            <w:tcW w:type="dxa" w:w="2880"/>
            <w:shd w:val="clear" w:color="auto" w:fill="EBF3FB"/>
          </w:tcPr>
          <w:p>
            <w:pPr>
              <w:spacing w:before="60" w:after="60"/>
            </w:pPr>
            <w:r>
              <w:rPr>
                <w:rFonts w:ascii="Arial" w:hAnsi="Arial"/>
                <w:b/>
                <w:sz w:val="17"/>
              </w:rPr>
              <w:t>Prior (10-Q 2025-05-14)</w:t>
            </w:r>
          </w:p>
        </w:tc>
        <w:tc>
          <w:tcPr>
            <w:tcW w:type="dxa" w:w="7200"/>
          </w:tcPr>
          <w:p>
            <w:pPr>
              <w:spacing w:before="60" w:after="60"/>
            </w:pPr>
            <w:r>
              <w:rPr>
                <w:rFonts w:ascii="Arial" w:hAnsi="Arial"/>
                <w:sz w:val="17"/>
              </w:rPr>
              <w:t>Vagueness: 0.2054  |  Complexity: 0.0311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+0.0039  |  Complexity: -0.0165</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TransAct Technologies (TACT) presents minimal supply chain disclosure risk. Both the Claude Analysis signal (LOW) and FinBERT statistical signal (LOW) converge, indicating above-average transparency relative to the 185-company sector universe. TACT's vagueness score sits nearly 30 basis points below the sector mean and has been on a sustained downward trend across recent filings. Two borderline findings—softened tariff language and thin IP risk disclosure—merit routine monitoring but do not warrant escalated diligence at this time.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TACT's FinBERT vagueness score of 0.2093 places it well below the sector 25th percentile (0.4199), ranking among the most transparent filers in the universe. The trend is strongly favorable: vagueness declined from 0.8554 in the March 2024 10-K to 0.2093 in the latest 10-Q, with the most recent period essentially flat (+0.004). Complexity scores are similarly low and declining, reinforcing the quality trajectory.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a modest softening of tariff risk language between filings. The prior 10-Q disclosed specific tariff rates (10% baseline, 36% reciprocal) with effective dates and explicit warnings about "additional costs and pricing pressures, supply chain disruptions," while the current filing references only the negotiated 19% rate with generic monitoring language (see 10-Q filed 2025-05-14, p.41). This reduction is partially justified by the bilateral agreement's resolution of interim tariff actions, but the dropped cautionary language warrants attention given that TACT has implemented only 5% ASP increases against a 19% tariff burden, creating potential margin compression risk.</w:t>
      </w:r>
    </w:p>
    <w:p>
      <w:pPr>
        <w:spacing w:after="120" w:before="40"/>
      </w:pPr>
      <w:r>
        <w:rPr>
          <w:rFonts w:ascii="Arial" w:hAnsi="Arial"/>
          <w:i w:val="0"/>
          <w:color w:val="000000"/>
          <w:sz w:val="18"/>
        </w:rPr>
        <w:t>Secondly, TACT's intellectual property risk disclosure is notably brief given its concentration of manufacturing with a single Thailand-based contract manufacturer that has access to proprietary technology (see 10-Q filed 2025-08-12, p.58). While the company acknowledges the core risk that Asian manufacturing weakens IP protections, the three-sentence treatment appears thin relative to the materiality of the exposure. This is a structural disclosure gap rather than a degradation trend, and may reflect differing business models among peers rather than intentional opacity.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TACT's disclosure quality significantly exceeds sector norms, scoring nearly 0.30 below mean vagueness. The peer comparison for IP risk disclosure (Flag 7) drew from a company with a materially different business model, which limits the diagnostic value of that specific divergence. This peer selection limitation should be considered when weighting the IP finding.</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track TACT's Q3 and Q4 gross margins to determine whether the 5% ASP increase adequately offsets the 19% Thailand tariff or whether the softened risk language masked emerging margin pressure. Second, review TACT's manufacturing and supply agreements (if available via EDGAR exhibits) for IP indemnification terms with the Thailand contract manufacturer. Third, compare tariff disclosure specificity in the next 10-Q filing to confirm whether the language reduction was a one-time simplification or the beginning of a degradation trend.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16:09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