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TAYD</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7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2025-08-15)</w:t>
            </w:r>
          </w:p>
        </w:tc>
        <w:tc>
          <w:tcPr>
            <w:tcW w:type="dxa" w:w="7200"/>
          </w:tcPr>
          <w:p>
            <w:pPr>
              <w:spacing w:before="60" w:after="60"/>
            </w:pPr>
            <w:r>
              <w:rPr>
                <w:rFonts w:ascii="Arial" w:hAnsi="Arial"/>
                <w:sz w:val="17"/>
              </w:rPr>
              <w:t>Vagueness: 0.4236  |  Complexity: 0.0293</w:t>
            </w:r>
          </w:p>
        </w:tc>
      </w:tr>
      <w:tr>
        <w:tc>
          <w:tcPr>
            <w:tcW w:type="dxa" w:w="2880"/>
            <w:shd w:val="clear" w:color="auto" w:fill="EBF3FB"/>
          </w:tcPr>
          <w:p>
            <w:pPr>
              <w:spacing w:before="60" w:after="60"/>
            </w:pPr>
            <w:r>
              <w:rPr>
                <w:rFonts w:ascii="Arial" w:hAnsi="Arial"/>
                <w:b/>
                <w:sz w:val="17"/>
              </w:rPr>
              <w:t>Prior (10-Q 2025-03-28)</w:t>
            </w:r>
          </w:p>
        </w:tc>
        <w:tc>
          <w:tcPr>
            <w:tcW w:type="dxa" w:w="7200"/>
          </w:tcPr>
          <w:p>
            <w:pPr>
              <w:spacing w:before="60" w:after="60"/>
            </w:pPr>
            <w:r>
              <w:rPr>
                <w:rFonts w:ascii="Arial" w:hAnsi="Arial"/>
                <w:sz w:val="17"/>
              </w:rPr>
              <w:t>Vagueness: 0.2874  |  Complexity: 0.0729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+0.1362  |  Complexity: -0.0436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Taylor Devices (TAYD) presents a MEDIUM supply chain transparency risk supported by convergent signals: Claude Analysis flags meaningful disclosure thinning across critical accounting policies and forward-looking commitments, while FinBERT scores indicate MEDIUM sector-relative vagueness with a notable +0.14 vagueness increase in the latest 10-K. For portfolio managers relying on TAYD as an upstream industrial supplier, the removal of quantitative detail on inventory provisions, capital commitments, and supply chain dependencies warrants heightened monitoring and direct engagement with management.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TAYD's latest 10-K vagueness score of 0.4236 sits near the sector 25th percentile (0.4199), positioning it below the 185-company mean of 0.5066—nominally favorable. However, the trend is concerning: vagueness declined through quarterly filings (0.418 to 0.277) before rebounding sharply by +0.136 in the annual filing, coinciding with a reduction from 97 to 45 scored sentences. This pattern suggests disclosure compression rather than improved clarity, as fewer sentences carried higher average vagueness.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systematic removal of quantitative detail from critical accounting policies. The prior 10-K disclosed specific inventory obsolescence provisions ($386K and $295K), accounts receivable valuation methodology including collection assessment and write-off procedures, and detailed revenue recognition criteria; the current filing collapses these into truncated boilerplate . Similarly, the prior filing's capital expenditure commitment of approximately $1.36M and state tax credit carryforward of ~$470K have disappeared without explanation, eliminating forward-looking cash flow and tax modeling inputs (see 10-K filed 2025-08-15, p.9).</w:t>
      </w:r>
    </w:p>
    <w:p>
      <w:pPr>
        <w:spacing w:after="120" w:before="40"/>
      </w:pPr>
      <w:r>
        <w:rPr>
          <w:rFonts w:ascii="Arial" w:hAnsi="Arial"/>
          <w:i w:val="0"/>
          <w:color w:val="000000"/>
          <w:sz w:val="18"/>
        </w:rPr>
        <w:t>Compounding these temporal gaps, TAYD's credit loss allowance surged nearly 20x from $29K to $564K, driven by a single $751K overdue structural project receivable, yet the filing provides minimal context on the counterparty or collection prospects (see 10-K filed 2025-08-15, p.12). For an industrial manufacturer with international sales, the complete absence of supply chain sourcing detail, tariff exposure, and trade policy risk discussion is a notable gap given the current macro environment (see 10-K filed 2025-08-15, p.8).</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TAYD's disclosure depth falls below peers on supply chain and geopolitical risk dimensions, though peer comparisons carry a known limitation: the selected comparators (KITT, EKSO) operate in ocean robotics and medical devices, respectively, driving structurally different disclosure requirements. Even accounting for business model differences, TAYD's single-sentence boilerplate on macroeconomic risks is unusually thin for a US industrial manufacturer with structural project and international exposure.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the notes to TAYD's 2025 consolidated financial statements to determine whether removed accounting policy detail (inventory provisions, AR methodology, tax credit carryforwards) was relocated rather than eliminated. Second, engage management directly on the $751K overdue structural project receivable, requesting counterparty identity, project status, and updated collection timeline. Third, assess TAYD's import content and supplier concentration through independent supply chain databases to evaluate whether undisclosed tariff or single-source risks exist.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