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TEX</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0  |  Borderline: 1  |  Dismissed: 6</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2025-07-31)</w:t>
            </w:r>
          </w:p>
        </w:tc>
        <w:tc>
          <w:tcPr>
            <w:tcW w:type="dxa" w:w="7200"/>
          </w:tcPr>
          <w:p>
            <w:pPr>
              <w:spacing w:before="60" w:after="60"/>
            </w:pPr>
            <w:r>
              <w:rPr>
                <w:rFonts w:ascii="Arial" w:hAnsi="Arial"/>
                <w:sz w:val="17"/>
              </w:rPr>
              <w:t>Vagueness: 0.3396  |  Complexity: 0.2283</w:t>
            </w:r>
          </w:p>
        </w:tc>
      </w:tr>
      <w:tr>
        <w:tc>
          <w:tcPr>
            <w:tcW w:type="dxa" w:w="2880"/>
            <w:shd w:val="clear" w:color="auto" w:fill="EBF3FB"/>
          </w:tcPr>
          <w:p>
            <w:pPr>
              <w:spacing w:before="60" w:after="60"/>
            </w:pPr>
            <w:r>
              <w:rPr>
                <w:rFonts w:ascii="Arial" w:hAnsi="Arial"/>
                <w:b/>
                <w:sz w:val="17"/>
              </w:rPr>
              <w:t>Prior (10-Q 2025-05-02)</w:t>
            </w:r>
          </w:p>
        </w:tc>
        <w:tc>
          <w:tcPr>
            <w:tcW w:type="dxa" w:w="7200"/>
          </w:tcPr>
          <w:p>
            <w:pPr>
              <w:spacing w:before="60" w:after="60"/>
            </w:pPr>
            <w:r>
              <w:rPr>
                <w:rFonts w:ascii="Arial" w:hAnsi="Arial"/>
                <w:sz w:val="17"/>
              </w:rPr>
              <w:t>Vagueness: 0.3460  |  Complexity: 0.2373</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-0.0064  |  Complexity: -0.0090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Terex Corporation (TEX) presents low supply chain disclosure risk based on converging signals: both the Claude Analysis and FinBERT statistical model indicate LOW concern. TEX's latest filing vagueness score of 0.34 sits well below the sector mean of 0.51, and the trend is stable to improving. The sole actionable finding is that tariff risk disclosure remains qualitative rather than quantified, a notable gap for an equipment manufacturer with global supply chains. Maintain routine monitoring cadence with no escalation required.</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TEX's most recent 10-Q vagueness score of 0.3396 places the company 0.167 points below the sector mean, positioning it firmly in the more-transparent quartile of the 185-company industrial universe. The sequential trend is benign: vagueness declined by 0.6 basis points and complexity by 0.9 basis points versus the prior quarter. Annual 10-K filings show modestly higher vagueness (~0.49–0.52), consistent with the broader boilerplate language typical of annual risk factor sections, but still below the sector median.</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only borderline finding across seven flags reviewed concerns TEX's tariff risk disclosure. The company acknowledges tariff exposure but relies on a single conditional sentence that offers no quantification of current tariff costs, recovery rates, or segment-level impact (see 10-Q filed 2025-07-31, p.46). For a capital equipment manufacturer with significant cross-border supply chains, this qualitative-only treatment is thin relative to the likely materiality. That said, Opus analysis confirmed that six of seven initial screening flags were false positives—in most cases TEX was actually the more detailed discloser compared to peers.</w:t>
      </w:r>
    </w:p>
    <w:p>
      <w:pPr>
        <w:spacing w:after="120" w:before="40"/>
      </w:pPr>
      <w:r>
        <w:rPr>
          <w:rFonts w:ascii="Arial" w:hAnsi="Arial"/>
          <w:i w:val="0"/>
          <w:color w:val="000000"/>
          <w:sz w:val="18"/>
        </w:rPr>
        <w:t>Beyond tariffs, two secondary monitoring items warrant attention: the integration of recent ESG-related acquisitions (where restructuring charges could benefit from granular segment attribution) and the treatment of OBBBA tax provisions such as R&amp;D capitalization and accelerated depreciation, which lack explicit dollar quantification. Neither rises to a current concern but could become material if unaddressed over the next two to three quarters.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TEX's disclosure quality is above average within its industrial equipment peer set, and the screening process revealed that most peer-divergence flags actually reflected TEX providing more detail than comparators. The peer selected for the tariff flag (Weatherford International) operates in oilfield services, limiting the comparison's relevance—a known limitation of cross-industry peer matching in the current methodology.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incorporate a targeted question on tariff cost quantification into upcoming TEX earnings call or management engagement, specifically requesting the dollar magnitude of tariff exposure, percentage recovered through pricing pass-throughs, and which segments (AWP, MP) bear the greatest burden. Second, track the next two quarterly filings for any degradation in the vagueness trend or emergence of new boilerplate language around restructuring and acquisition integration. Third, cross-reference TEX's tariff commentary against peer disclosures from Caterpillar and Oshkosh to benchmark specificity within the equipment manufacturing sub-sector.</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16:10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