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TGEN</w:t>
      </w:r>
    </w:p>
    <w:p>
      <w:pPr>
        <w:spacing w:after="40"/>
      </w:pPr>
      <w:r>
        <w:rPr>
          <w:rFonts w:ascii="Arial" w:hAnsi="Arial"/>
          <w:b/>
          <w:color w:val="1F3D6B"/>
          <w:sz w:val="20"/>
        </w:rPr>
        <w:t xml:space="preserve">CLAUDE ANALYSIS: </w:t>
      </w:r>
      <w:r>
        <w:rPr>
          <w:rFonts w:ascii="Arial" w:hAnsi="Arial"/>
          <w:b/>
          <w:color w:val="388638"/>
          <w:sz w:val="20"/>
        </w:rPr>
        <w:t>LOW</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C00000"/>
          <w:sz w:val="20"/>
        </w:rPr>
        <w:t>HIGH</w:t>
      </w:r>
    </w:p>
    <w:p>
      <w:pPr>
        <w:spacing w:after="80"/>
      </w:pPr>
      <w:r>
        <w:rPr>
          <w:rFonts w:ascii="Arial" w:hAnsi="Arial"/>
          <w:color w:val="606060"/>
          <w:sz w:val="17"/>
        </w:rPr>
        <w:t>Generated: 09 April 2026  |  Genuine: 1  |  Borderline: 3  |  Dismissed: 5</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2025-08-13)</w:t>
            </w:r>
          </w:p>
        </w:tc>
        <w:tc>
          <w:tcPr>
            <w:tcW w:type="dxa" w:w="7200"/>
          </w:tcPr>
          <w:p>
            <w:pPr>
              <w:spacing w:before="60" w:after="60"/>
            </w:pPr>
            <w:r>
              <w:rPr>
                <w:rFonts w:ascii="Arial" w:hAnsi="Arial"/>
                <w:sz w:val="17"/>
              </w:rPr>
              <w:t>Vagueness: 0.7864  |  Complexity: 0.2475</w:t>
            </w:r>
          </w:p>
        </w:tc>
      </w:tr>
      <w:tr>
        <w:tc>
          <w:tcPr>
            <w:tcW w:type="dxa" w:w="2880"/>
            <w:shd w:val="clear" w:color="auto" w:fill="EBF3FB"/>
          </w:tcPr>
          <w:p>
            <w:pPr>
              <w:spacing w:before="60" w:after="60"/>
            </w:pPr>
            <w:r>
              <w:rPr>
                <w:rFonts w:ascii="Arial" w:hAnsi="Arial"/>
                <w:b/>
                <w:sz w:val="17"/>
              </w:rPr>
              <w:t>Prior (10-Q 2025-05-13)</w:t>
            </w:r>
          </w:p>
        </w:tc>
        <w:tc>
          <w:tcPr>
            <w:tcW w:type="dxa" w:w="7200"/>
          </w:tcPr>
          <w:p>
            <w:pPr>
              <w:spacing w:before="60" w:after="60"/>
            </w:pPr>
            <w:r>
              <w:rPr>
                <w:rFonts w:ascii="Arial" w:hAnsi="Arial"/>
                <w:sz w:val="17"/>
              </w:rPr>
              <w:t>Vagueness: 0.7864  |  Complexity: 0.2475</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+0.0000  |  Complexity: +0.0000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TGEN presents a divergent signal profile: Claude Analysis rates disclosure risk as LOW, identifying mostly false positives among flagged items, while FinBERT ranks the company's vagueness as HIGH—nearly 28 percentage points above the sector mean and well above the 75th percentile. This divergence likely reflects structurally sparse 10-Q filings (only 8 sentences scored) inflating vagueness metrics, rather than active obfuscation. However, a genuine 35% backlog decline and thinning expense granularity warrant targeted follow-up. Recommend monitoring with focused verification on operating expense and backlog disclosures.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TGEN's FinBERT vagueness score of 0.79 on recent 10-Qs dramatically exceeds the sector mean of 0.51 and the 75th percentile of 0.60. However, these quarterly filings contain only 8 scored sentences each, making the vagueness metric unreliable as a stand-alone indicator. The annual 10-K filings (683–789 sentences) score a more moderate 0.59–0.61, roughly in line with the sector's upper quartile. The flat quarter-over-quarter trend (+0.00) suggests no incremental deterioration, though the structural sparseness of quarterly disclosures remains a known limitation of this measurement.</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reduction in G&amp;A expense granularity. Prior filings provided line-item breakdowns—payroll variances, facility cost changes, litigation reserve movements—whereas the current period discussion appears compressed to operational headcount context such as the Aegis employee onboarding (see 10-Q filed 2025-08-13, p.16). If this detail was not relocated elsewhere in the MD&amp;A, it represents a meaningful transparency reduction for a company reporting continued operating losses.</w:t>
      </w:r>
    </w:p>
    <w:p>
      <w:pPr>
        <w:spacing w:after="120" w:before="40"/>
      </w:pPr>
      <w:r>
        <w:rPr>
          <w:rFonts w:ascii="Arial" w:hAnsi="Arial"/>
          <w:i w:val="0"/>
          <w:color w:val="000000"/>
          <w:sz w:val="18"/>
        </w:rPr>
        <w:t>Separately, backlog declined 35% from $9.5M to $6.2M, and the verbal-commitment subcategory was eliminated entirely (see 10-Q filed 2025-08-13, p.27). While this may reflect genuinely having no verbal-commitment projects at period-end, the coincident decline and category removal deserve clarification. Additionally, TGEN's capital expenditures of just $278K over six months appear incongruent with its self-described capital-intensive business model (see 10-Q filed 2025-08-13, p.16), raising questions about asset maintenance adequacy amid ongoing losses.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TGEN's disclosure depth materially trails larger-cap HVAC/industrial peers such as AAON, which provide extensive intangible asset schedules, warranty accruals, and capex program detail. However, direct comparisons are limited by significant scale differences; TGEN is a small, pre-profitability manufacturer. Peer selection in this analysis is a known limitation given the narrow universe of comparable micro-cap, built-to-order thermal equipment companies.</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independently verify whether TGEN's Q2 2025 10-Q contains detailed G&amp;A line-item breakdowns elsewhere in the MD&amp;A beyond the flagged sections, using the full EDGAR filing. Second, engage management on the 35% backlog decline and whether the verbal-commitment category elimination reflects a reporting policy change or actual project pipeline erosion. Third, assess TGEN's remaining cash runway relative to the $2.1M H1 2025 net loss and minimal reinvestment rate to evaluate supply continuity risk for downstream customers.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16:10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