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TKR</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0.3031  |  Complexity: 0.1127</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0.3240  |  Complexity: 0.1118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-0.0209  |  Complexity: +0.0009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The Timken Company (TKR) presents minimal supply chain disclosure risk. Both the Claude Analysis signal and FinBERT statistical signal register LOW, indicating convergent evidence of stable, above-average transparency. TKR's latest 10-Q vagueness score sits well below the sector mean, and the quarter-over-quarter trend shows slight improvement. Two borderline temporal flags warrant routine monitoring—truncated non-GAAP definitions and removed restructuring language—but neither rises to actionable concern. Recommendation: maintain standard surveillance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TKR's most recent 10-Q vagueness score of 0.3031 falls approximately 0.20 points below the sector mean of 0.5066, placing the company comfortably in the most transparent quartile of the 185-company industrial universe. The latest filing improved modestly from the prior quarter (−0.021 in vagueness), and complexity remained essentially flat. The consistent pattern of low-vagueness quarterly filings bracketing higher-vagueness annual filings reflects normal 10-K versus 10-Q structural differences, not a deterioration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first borderline flag identifies a reduction in non-GAAP disclosure granularity between the 10-K and the latest 10-Q. Where the prior period enumerated specific adjustment categories—impairment, restructuring charges, acquisition costs, and actuarial items—the current quarterly filing references these measures by name only . This is a common editorial practice in quarterly filings that cross-reference annual disclosures, and the filing explicitly states no changes to critical accounting policies from the 10-K.</w:t>
      </w:r>
    </w:p>
    <w:p>
      <w:pPr>
        <w:spacing w:after="120" w:before="40"/>
      </w:pPr>
      <w:r>
        <w:rPr>
          <w:rFonts w:ascii="Arial" w:hAnsi="Arial"/>
          <w:i w:val="0"/>
          <w:color w:val="000000"/>
          <w:sz w:val="18"/>
        </w:rPr>
        <w:t>The second flag concerns the removal of language referencing potential restructuring or divestiture of underperforming product lines in Industrial Motion, including drivetrain services (see 10-Q filed 2025-04-30, p.19). The current filing substitutes broader continuous-improvement language (see 10-Q filed 2025-07-30, p.24). While the change is real, it coincides with a shift from an annual to a quarterly filing format where strategic boilerplate is routinely condensed. Analysts should note that TKR's net debt-to-adjusted-EBITDA has risen to 2.3× from 2.0×, a trajectory worth tracking alongside any future operational disclosures about the drivetrain services business.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TKR's disclosure quality sits in the top quartile of its 185-company sector peer set, scoring roughly 0.20 points below the mean on vagueness—a meaningful gap. No peer divergence flags were sustained as genuine concerns; four such flags were dismissed, with Opus analysis noting they largely confirmed TKR's superior transparency relative to comparables. A limitation of this assessment is that the broad sector universe may not perfectly match TKR's specialized bearing and motion-control peer group.</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as part of routine supply chain due diligence. First, cross-reference TKR's 2025 10-K (filed February 2025) to confirm that non-GAAP reconciliation definitions remain unchanged and no novel adjustment categories have been introduced. Second, monitor Industrial Motion segment margins over the next two quarters for signs that the removed restructuring language masked operational deterioration in drivetrain services. Third, track the leverage trajectory toward 2.3× net debt-to-EBITDA and assess whether covenant headroom disclosures become less detailed in subsequent filings.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