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TNC</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4  |  Borderline: 5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0.3988  |  Complexity: 0.0599</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0.4353  |  Complexity: 0.0728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-0.0365  |  Complexity: -0.0129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TNC presents a material supply chain monitoring concern driven by systematic removal of operational specifics from its most recent 10-Q filing. The Claude Analysis signal is HIGH, identifying four genuine flags where quantitative disclosures were replaced with identical boilerplate language. The FinBERT signal is LOW, ranking TNC below the sector mean in vagueness — a divergence likely explained by the model capturing overall filing brevity rather than targeted disclosure stripping. We recommend elevated due diligence on TNC as a supply chain counterparty, with particular focus on cash flow deterioration and procurement risk.</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TNC's latest 10-Q vagueness score of 0.399 sits well below the sector mean of 0.507 and beneath the 25th percentile of 0.420, placing it among the least vague filers statistically. The trend is modestly improving, with vagueness declining 3.7 points sequentially. However, this low score likely reflects the extreme brevity and simplicity of TNC's boilerplate substitutions rather than genuine transparency — short aspirational sentences register as less vague than detailed risk discussions, creating a measurement artifact.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TNC's replacement of specific cash flow drivers — including a $12.4 million ERP modernization spend, working capital consumption, and lower operating performance — with a single sentence: "We continuously strive to optimize our financial performance to achieve sustainable profitability and expand our margins" (see 10-Q filed 2025-08-07, p.20). This identical boilerplate appears across both the MD&amp;A and Risk Factors sections, displacing distinct disclosures in each, which strongly suggests a deliberate editorial decision rather than routine condensation (see 10-Q filed 2025-08-07, p.20). The prior filing's ERP specificity provided critical visibility into capital allocation and project execution risk that is now entirely absent.</w:t>
      </w:r>
    </w:p>
    <w:p>
      <w:pPr>
        <w:spacing w:after="120" w:before="40"/>
      </w:pPr>
      <w:r>
        <w:rPr>
          <w:rFonts w:ascii="Arial" w:hAnsi="Arial"/>
          <w:i w:val="0"/>
          <w:color w:val="000000"/>
          <w:sz w:val="18"/>
        </w:rPr>
        <w:t>Equally concerning is the complete removal of supply chain risk language that previously addressed trade measures, export controls, sanctions, and procurement cycle strain (see 10-Q filed 2025-05-01, p.18). In the current geopolitical environment — with escalating tariff activity and export restrictions affecting US industrials — eliminating rather than updating this disclosure is inconsistent with improving conditions. The prior filing also referenced active monitoring of "global supply chain constraints on material inflation" (see 10-Q filed 2025-05-01, p.18), language that has vanished without explanation or replacement. Taken together, these removals eliminate the two primary windows into TNC's operational cost structure and sourcing vulnerability.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sector peer Hayward Holdings (HAYW), TNC's disclosure is conspicuously thin. HAYW provides detailed balance sheet data, derivative positions with dollar amounts, warranty reserve tables, and specific litigation disclosures. TNC's MD&amp;A offers virtually no quantitative content. While HAYW is larger and faces unique litigation exposure, the gap highlights TNC's outlier status. Peer selection is a known limitation — HAYW's product mix may differ materially from TNC's.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analysts should pull TNC's cash flow statement and capex footnotes from the current 10-Q to independently verify ERP project spending levels, working capital movements, and whether cash burn has accelerated — the data the MD&amp;A no longer provides. Second, review cost-of-goods-sold trends and gross margin trajectory over the last four quarters to detect supply chain cost pressures that may explain the removal of procurement risk language. Third, during the next earnings call or management interaction, directly ask why specific cash usage drivers and supply chain risk disclosures were removed and whether the ERP modernization project remains on schedule and on budget.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