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TPCS</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3  |  Borderline: 3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2025-08-21)</w:t>
            </w:r>
          </w:p>
        </w:tc>
        <w:tc>
          <w:tcPr>
            <w:tcW w:type="dxa" w:w="7200"/>
          </w:tcPr>
          <w:p>
            <w:pPr>
              <w:spacing w:before="60" w:after="60"/>
            </w:pPr>
            <w:r>
              <w:rPr>
                <w:rFonts w:ascii="Arial" w:hAnsi="Arial"/>
                <w:sz w:val="17"/>
              </w:rPr>
              <w:t>Vagueness: 0.5294  |  Complexity: 0.0960</w:t>
            </w:r>
          </w:p>
        </w:tc>
      </w:tr>
      <w:tr>
        <w:tc>
          <w:tcPr>
            <w:tcW w:type="dxa" w:w="2880"/>
            <w:shd w:val="clear" w:color="auto" w:fill="EBF3FB"/>
          </w:tcPr>
          <w:p>
            <w:pPr>
              <w:spacing w:before="60" w:after="60"/>
            </w:pPr>
            <w:r>
              <w:rPr>
                <w:rFonts w:ascii="Arial" w:hAnsi="Arial"/>
                <w:b/>
                <w:sz w:val="17"/>
              </w:rPr>
              <w:t>Prior (10-K 2025-07-30)</w:t>
            </w:r>
          </w:p>
        </w:tc>
        <w:tc>
          <w:tcPr>
            <w:tcW w:type="dxa" w:w="7200"/>
          </w:tcPr>
          <w:p>
            <w:pPr>
              <w:spacing w:before="60" w:after="60"/>
            </w:pPr>
            <w:r>
              <w:rPr>
                <w:rFonts w:ascii="Arial" w:hAnsi="Arial"/>
                <w:sz w:val="17"/>
              </w:rPr>
              <w:t>Vagueness: 0.5042  |  Complexity: 0.0639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+0.0252  |  Complexity: +0.0321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TPC Consolidated Inc. (TPCS) presents elevated supply chain transparency risk for downstream defense-sector customers. Claude Analysis flags HIGH concern based on systematic removal of subsidiary-level loss quantification and remediation details at the Stadco unit, while FinBERT ranks vagueness as MEDIUM relative to the aerospace/defense sector. The divergence likely reflects that FinBERT captures aggregate filing-level language while Claude detects targeted narrative omissions. Active bank covenant violations without waiver compound the risk. Recommend enhanced due diligence and direct management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TPCS's latest 10-Q vagueness score of 0.529 sits slightly above the sector mean of 0.507, placing it near the 55th percentile—consistent with the MEDIUM FinBERT signal. The trend is notable: vagueness declined through the interim 10-Qs (to 0.411) before rebounding sharply in the most recent filing (+0.025 sequentially). Complexity also increased. This V-shaped pattern suggests disclosure quality improved temporarily during mid-year filings but deteriorated in the latest quarter, warranting closer monitoring.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elimination of Stadco operating loss quantification. Prior filings disclosed that Stadco's quarterly operating losses grew $340 (66%) and nine-month losses grew $1,272 (73%), accompanied by a specific remediation roadmap. The current filing removes all such figures and the mitigation commitment (see 10-Q filed 2025-08-21, p.18). Simultaneously, subsidiary-level SG&amp;A detail—previously broken out by entity with dollar amounts and cost drivers—has been replaced by a single aggregate metric stating only that direct labor hours rose 2% (see 10-Q filed 2025-08-21, p.21). This obscures whether Stadco's cost structure is deteriorating further.</w:t>
      </w:r>
    </w:p>
    <w:p>
      <w:pPr>
        <w:spacing w:after="120" w:before="40"/>
      </w:pPr>
      <w:r>
        <w:rPr>
          <w:rFonts w:ascii="Arial" w:hAnsi="Arial"/>
          <w:i w:val="0"/>
          <w:color w:val="000000"/>
          <w:sz w:val="18"/>
        </w:rPr>
        <w:t>Compounding these omissions, TPCS operates under active Berkshire Bank covenant violations with no waiver granted and the lender retaining acceleration rights. New language referencing "inadequate segregation of duties" risk appeared in the current filing (see 10-Q filed 2025-08-21, p.18), suggesting potential internal control deficiencies at a subsidiary already generating outsized losses. Additionally, Ranor's ISO 9001:2015 certification was dropped from the current filing while Stadco's equivalent certification was retained , creating an unexplained asymmetry that could affect contract eligibility for a company deriving 95%+ of revenue from defense.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the 185-company sector universe, TPCS sits modestly above average on vagueness but below the 75th percentile, explaining the MEDIUM FinBERT ranking. Peer comparisons are limited by TPCS's micro-cap status and narrow defense-machining focus; the available peer set includes larger, more diversified firms. Despite this limitation, TPCS's geopolitical risk disclosure appears notably thin for a company with near-total defense revenue concentration.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request subsidiary-level segment financials directly from TPCS management, specifically Stadco's operating loss trajectory and the current status of the throughput remediation plan. Second, confirm Ranor's ISO 9001:2015 certification status, as a lapse would jeopardize defense contract eligibility critical to the supply chain. Third, evaluate Berkshire Bank covenant compliance and acceleration risk by reviewing the credit agreement amendment history and any recent 8-K filings for material definitive agreements.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