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TRS</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2  |  Borderline: 1  |  Dismissed: 6</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2025-07-29)</w:t>
            </w:r>
          </w:p>
        </w:tc>
        <w:tc>
          <w:tcPr>
            <w:tcW w:type="dxa" w:w="7200"/>
          </w:tcPr>
          <w:p>
            <w:pPr>
              <w:spacing w:before="60" w:after="60"/>
            </w:pPr>
            <w:r>
              <w:rPr>
                <w:rFonts w:ascii="Arial" w:hAnsi="Arial"/>
                <w:sz w:val="17"/>
              </w:rPr>
              <w:t>Vagueness: 0.7467  |  Complexity: 0.0054</w:t>
            </w:r>
          </w:p>
        </w:tc>
      </w:tr>
      <w:tr>
        <w:tc>
          <w:tcPr>
            <w:tcW w:type="dxa" w:w="2880"/>
            <w:shd w:val="clear" w:color="auto" w:fill="EBF3FB"/>
          </w:tcPr>
          <w:p>
            <w:pPr>
              <w:spacing w:before="60" w:after="60"/>
            </w:pPr>
            <w:r>
              <w:rPr>
                <w:rFonts w:ascii="Arial" w:hAnsi="Arial"/>
                <w:b/>
                <w:sz w:val="17"/>
              </w:rPr>
              <w:t>Prior (10-Q 2025-04-29)</w:t>
            </w:r>
          </w:p>
        </w:tc>
        <w:tc>
          <w:tcPr>
            <w:tcW w:type="dxa" w:w="7200"/>
          </w:tcPr>
          <w:p>
            <w:pPr>
              <w:spacing w:before="60" w:after="60"/>
            </w:pPr>
            <w:r>
              <w:rPr>
                <w:rFonts w:ascii="Arial" w:hAnsi="Arial"/>
                <w:sz w:val="17"/>
              </w:rPr>
              <w:t>Vagueness: 0.7467  |  Complexity: 0.0054</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+0.0000  |  Complexity: +0.0000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TriMas Corporation (TRS) presents a divergent risk signal for supply chain monitoring: Claude Analysis flags MEDIUM concern centered on the removal of two specific tariff-related risk factors between Q1 and Q2 2025 filings, while FinBERT ranks TRS's overall disclosure vagueness as HIGH, placing it well above the 75th percentile of its 185-company sector universe. The divergence likely reflects TRS maintaining strong quantitative disclosure in most areas while sustaining elevated baseline vagueness in qualifying language. Recommend enhanced monitoring of tariff-related disclosures and direct supplier engagement on trade policy exposure.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TRS's FinBERT vagueness score of 0.747 on its latest 10-Q sits 24 percentage points above the sector mean of 0.507 and well above the 75th percentile of 0.596, indicating persistently elevated hedging language relative to peers. Notably, vagueness scores have been effectively flat across all five filings measured, suggesting this is a structural characteristic of TRS's disclosure style rather than a deteriorating trend. Complexity scores remain negligible throughout.</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TRS's removal of an operationally detailed risk factor describing tariff-driven cost pressures from Chinese imports, including specific references to higher input costs, pricing pass-through limitations, and capacity relocation efforts (see 10-Q filed 2025-04-29, p.35). This disclosure disappeared despite the company's own Q2 2025 MD&amp;A continuing to reference "tariff related input costs" and "increased input costs," creating an internal inconsistency that reduces investors' ability to assess the magnitude of an active headwind.</w:t>
      </w:r>
    </w:p>
    <w:p>
      <w:pPr>
        <w:spacing w:after="120" w:before="40"/>
      </w:pPr>
      <w:r>
        <w:rPr>
          <w:rFonts w:ascii="Arial" w:hAnsi="Arial"/>
          <w:i w:val="0"/>
          <w:color w:val="000000"/>
          <w:sz w:val="18"/>
        </w:rPr>
        <w:t>The second genuine flag involves the complete removal of a comprehensive trade policy risk factor addressing baseline tariffs, reciprocal tariffs on China, and retaliatory tariff risks (see 10-Q filed 2025-04-29, p.35). A related borderline flag captured demand-destruction language tied to trade wars that also disappeared (see 10-Q filed 2025-04-29, p.35). Collectively, these removals narrow the disclosed risk surface around tariff exposure at a time when U.S.-China trade policy remains highly uncertain. The pattern—acknowledging tariff impacts in MD&amp;A while stripping risk factor specificity—warrants scrutiny as a potential effort to reduce the salience of ongoing headwinds to investors and downstream customers.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TRS's vagueness score consistently exceeds 0.77 on annual filings, placing it materially above the sector's interquartile range. Among 185 companies, TRS ranks in the upper tail of vagueness distribution. However, the peer universe spans TRS's full sector and may include companies with substantially different business models; this broad comparison is a known limitation of the current methodology.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review TRS's Q2 2025 earnings call transcript for management commentary on tariff cost absorption, pricing actions, and the status of capacity relocation away from China-sourced inputs. Second, cross-reference TRS's 10-K risk factors with the removed 10-Q language to determine whether the deletion reflects reversion to annual-only disclosure or a substantive narrowing. Third, if TRS is a material supplier, engage procurement contacts directly to assess whether tariff-driven cost increases are being passed through to your portfolio companies and whether supply continuity plans have changed.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16:11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