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TRT</w:t>
      </w:r>
    </w:p>
    <w:p>
      <w:pPr>
        <w:spacing w:after="40"/>
      </w:pPr>
      <w:r>
        <w:rPr>
          <w:rFonts w:ascii="Arial" w:hAnsi="Arial"/>
          <w:b/>
          <w:color w:val="1F3D6B"/>
          <w:sz w:val="20"/>
        </w:rPr>
        <w:t xml:space="preserve">CLAUDE ANALYSIS: </w:t>
      </w:r>
      <w:r>
        <w:rPr>
          <w:rFonts w:ascii="Arial" w:hAnsi="Arial"/>
          <w:b/>
          <w:color w:val="ED7D31"/>
          <w:sz w:val="20"/>
        </w:rPr>
        <w:t>MEDIUM</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ED7D31"/>
          <w:sz w:val="20"/>
        </w:rPr>
        <w:t>MEDIUM</w:t>
      </w:r>
    </w:p>
    <w:p>
      <w:pPr>
        <w:spacing w:after="80"/>
      </w:pPr>
      <w:r>
        <w:rPr>
          <w:rFonts w:ascii="Arial" w:hAnsi="Arial"/>
          <w:color w:val="606060"/>
          <w:sz w:val="17"/>
        </w:rPr>
        <w:t>Generated: 09 April 2026  |  Genuine: 1  |  Borderline: 2  |  Dismissed: 3</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(10-K 2025-09-19)</w:t>
            </w:r>
          </w:p>
        </w:tc>
        <w:tc>
          <w:tcPr>
            <w:tcW w:type="dxa" w:w="7200"/>
          </w:tcPr>
          <w:p>
            <w:pPr>
              <w:spacing w:before="60" w:after="60"/>
            </w:pPr>
            <w:r>
              <w:rPr>
                <w:rFonts w:ascii="Arial" w:hAnsi="Arial"/>
                <w:sz w:val="17"/>
              </w:rPr>
              <w:t>Vagueness: 0.4878  |  Complexity: 0.1035</w:t>
            </w:r>
          </w:p>
        </w:tc>
      </w:tr>
      <w:tr>
        <w:tc>
          <w:tcPr>
            <w:tcW w:type="dxa" w:w="2880"/>
            <w:shd w:val="clear" w:color="auto" w:fill="EBF3FB"/>
          </w:tcPr>
          <w:p>
            <w:pPr>
              <w:spacing w:before="60" w:after="60"/>
            </w:pPr>
            <w:r>
              <w:rPr>
                <w:rFonts w:ascii="Arial" w:hAnsi="Arial"/>
                <w:b/>
                <w:sz w:val="17"/>
              </w:rPr>
              <w:t>Prior (10-Q 2025-05-13)</w:t>
            </w:r>
          </w:p>
        </w:tc>
        <w:tc>
          <w:tcPr>
            <w:tcW w:type="dxa" w:w="7200"/>
          </w:tcPr>
          <w:p>
            <w:pPr>
              <w:spacing w:before="60" w:after="60"/>
            </w:pPr>
            <w:r>
              <w:rPr>
                <w:rFonts w:ascii="Arial" w:hAnsi="Arial"/>
                <w:sz w:val="17"/>
              </w:rPr>
              <w:t>Vagueness: 0.3294  |  Complexity: 0.0151</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+0.1584  |  Complexity: +0.0884</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Trio-Tech International (TRT) presents a concentrated disclosure degradation risk centered on asset impairment transparency, particularly regarding its Southeast and East Asian operations—relevant to any portfolio company sourcing testing, burn-in, or semiconductor services from TRT. The Claude Analysis signal is MEDIUM, identifying one genuine and two borderline flags, while the FinBERT signal is also MEDIUM, with vagueness near the sector mean but rising sharply in the latest 10-K. We recommend enhanced monitoring of TRT's impairment and restructuring disclosures ahead of the next filing cycle.</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TRT's latest 10-K vagueness score of 0.4878 sits just below the sector mean of 0.5066, placing it near the 50th percentile among 185 peers. However, the trend is concerning: vagueness jumped +0.1584 and complexity rose +0.0884 versus the prior quarterly filing. The quarterly filings showed an improving trajectory (0.5433 to 0.2896), making the sharp reversal in the annual filing noteworthy and consistent with the qualitative degradation identified by Claude Analysis.</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the replacement of specific Malaysia impairment test disclosures—which previously named the customer, geography, and management's asset-by-asset conclusions—with opaque references to "business model restructuring in one of our China operations" and generic language about "maintaining operational flexibility" . The prior filing explicitly disclosed the phasing out of a burn-in service contract and management's determination that assets were either fully depreciated or repurposed (see 10-K filed 2024-09-23, p.19). This shift from granular to vague language may obscure emerging asset quality issues in TRT's Asian operations.</w:t>
      </w:r>
    </w:p>
    <w:p>
      <w:pPr>
        <w:spacing w:after="120" w:before="40"/>
      </w:pPr>
      <w:r>
        <w:rPr>
          <w:rFonts w:ascii="Arial" w:hAnsi="Arial"/>
          <w:i w:val="0"/>
          <w:color w:val="000000"/>
          <w:sz w:val="18"/>
        </w:rPr>
        <w:t>A secondary concern involves a subtle but consequential methodological change in impairment testing, where the filing language shifted from "discounted" to "undiscounted" cash flow analysis . Undiscounted cash flows mechanically raise the threshold for recognizing impairment charges under ASC 360, potentially deferring write-downs. Additionally, TRT's regulatory and tax risk disclosure appears thin relative to its multinational footprint across Singapore, Malaysia, China, and the U.S. , though this may reflect fragmentation in the excerpted passages rather than a true gap.</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TRT's vagueness score is modestly below sector mean, and its debt and supply chain disclosures remain detailed relative to peers. However, the peer comparison for regulatory and tax disclosure reveals a notable gap: comparator filings include detailed ASC 740 methodology and specific incentive program analysis that TRT lacks. Peer selection limitations may affect this comparison, as the available comparator operates in a different end market.</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with TRT supply chain exposure should take three steps: (1) review the complete notes to TRT's FY2025 10-K to determine whether impairment test details and ASC 740 uncertain tax position disclosures appear elsewhere in the filing, (2) directly engage TRT investor relations to clarify the nature of the China "business model restructuring" and the current status of Malaysia burn-in assets, and (3) monitor the next quarterly filing for whether vagueness reverts to the improving trend seen in Q1-Q3 or persists at annual-filing levels, which would confirm a structural disclosure deterioration.</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16:12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