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TWIN</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1  |  Borderline: 0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2025-09-05)</w:t>
            </w:r>
          </w:p>
        </w:tc>
        <w:tc>
          <w:tcPr>
            <w:tcW w:type="dxa" w:w="7200"/>
          </w:tcPr>
          <w:p>
            <w:pPr>
              <w:spacing w:before="60" w:after="60"/>
            </w:pPr>
            <w:r>
              <w:rPr>
                <w:rFonts w:ascii="Arial" w:hAnsi="Arial"/>
                <w:sz w:val="17"/>
              </w:rPr>
              <w:t>Vagueness: 0.4958  |  Complexity: 0.0872</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0.1851  |  Complexity: 0.1715</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+0.3107  |  Complexity: -0.0843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Twin Disc, Incorporated (TWIN) presents a divergent signal profile: Claude Analysis flags LOW risk based on a single genuine disclosure concern, while FinBERT ranks the company at MEDIUM vagueness relative to its industrial sector. The divergence is largely explained by TWIN's annual 10-K filings exhibiting structurally higher vagueness than interim 10-Qs, with the latest 10-K vagueness score (0.496) sitting near the sector mean. The sole confirmed finding—removal of oil/energy demand sensitivity and insurance recovery language from Risk Factors—warrants targeted supply chain due diligence but does not rise to an actionable portfolio-level concern. Recommended action: monitor with routine review cadence.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TWIN's latest 10-K vagueness score of 0.496 sits marginally below the sector mean of 0.507, placing it near the 50th percentile among 185 industrial peers. The apparent +0.31 vagueness jump from the prior filing is a periodic artifact: annual 10-Ks consistently score ~0.49 while interim 10-Qs score 0.15–0.19. Year-over-year 10-K comparison (0.494 to 0.496) shows negligible deterioration. Complexity declined modestly. Overall, TWIN's statistical disclosure profile is unremarkable within its sector.</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only confirmed disclosure degradation involves the removal from Risk Factors of language addressing oil price sensitivity, production disruption impacts, and insurance recovery limitations. The prior filing explicitly warned that "significant decreases in oil prices and reduced demand for oil and capital investment in the oil and energy markets adversely affect the sales of these products and the Company's profitability" (see 10-K filed 2025-09-05, p.15). The current filing retains generic commodity cost language but omits this sector-specific demand risk and the insurance caveat, consolidating into broader statements about commodity costs and profitability . This reduction in granularity is notable for downstream customers exposed to energy end-markets through TWIN's power transmission products.</w:t>
      </w:r>
    </w:p>
    <w:p>
      <w:pPr>
        <w:spacing w:after="120" w:before="40"/>
      </w:pPr>
      <w:r>
        <w:rPr>
          <w:rFonts w:ascii="Arial" w:hAnsi="Arial"/>
          <w:i w:val="0"/>
          <w:color w:val="000000"/>
          <w:sz w:val="18"/>
        </w:rPr>
        <w:t>The remaining three flags identified by the automated system were dismissed upon deeper review—attributable to legitimate business differences, misclassification, or inverted logic. The pattern of consolidating specific risk factors into generic language, while not individually material, could compound over multiple filing cycles if it continues unchecked.</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At the 50th percentile of sector vagueness, TWIN does not stand out as an outlier among industrial peers. However, the peer universe of 185 companies spans a broad range of industrial subsectors; TWIN's niche in marine and industrial power transmission may not be well-represented, which is a known limitation of the current sector-level comparison framework.</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covering supply chains with TWIN exposure should take three steps: first, review TWIN's revenue disaggregation and segment commentary to assess whether oil/energy end-market concentration has genuinely declined enough to justify the risk factor removal; second, examine TWIN's insurance program disclosures and recent 8-K filings for any changes in coverage terms or production disruption events; third, establish a baseline by archiving the current 10-K Risk Factors section to enable precise year-over-year comparison in the September 2026 filing cycle.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