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VATE</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0  |  Borderline: 2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0.5691  |  Complexity: 0.3908</w:t>
            </w:r>
          </w:p>
        </w:tc>
      </w:tr>
      <w:tr>
        <w:tc>
          <w:tcPr>
            <w:tcW w:type="dxa" w:w="2880"/>
            <w:shd w:val="clear" w:color="auto" w:fill="EBF3FB"/>
          </w:tcPr>
          <w:p>
            <w:pPr>
              <w:spacing w:before="60" w:after="60"/>
            </w:pPr>
            <w:r>
              <w:rPr>
                <w:rFonts w:ascii="Arial" w:hAnsi="Arial"/>
                <w:b/>
                <w:sz w:val="17"/>
              </w:rPr>
              <w:t>Prior (10-Q 2025-05-06)</w:t>
            </w:r>
          </w:p>
        </w:tc>
        <w:tc>
          <w:tcPr>
            <w:tcW w:type="dxa" w:w="7200"/>
          </w:tcPr>
          <w:p>
            <w:pPr>
              <w:spacing w:before="60" w:after="60"/>
            </w:pPr>
            <w:r>
              <w:rPr>
                <w:rFonts w:ascii="Arial" w:hAnsi="Arial"/>
                <w:sz w:val="17"/>
              </w:rPr>
              <w:t>Vagueness: 0.5816  |  Complexity: 0.3526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-0.0125  |  Complexity: +0.0382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INNOVATE Corp. (VATE) presents a divergent signal profile: the Claude qualitative analysis flags LOW risk, finding largely stable or improving disclosure, while the FinBERT statistical model ranks VATE at MEDIUM sector-relative vagueness, sitting above the 75th percentile of its 185-company peer universe. The divergence likely reflects VATE's structurally elevated baseline vagueness rather than incremental degradation. For supply chain monitoring purposes, the disappearance of a $1.37 billion infrastructure backlog figure warrants targeted follow-up, but no escalation is recommended at this time.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VATE's latest 10-Q vagueness score of 0.5691 sits modestly above the sector mean of 0.5066 and near the 75th percentile (0.5957), explaining the MEDIUM FinBERT ranking. Importantly, the trend is favorable: vagueness declined sequentially by 0.0125 points, and the most recent 10-K (0.5856) also improved versus the prior year's 10-K (0.5917). Rising complexity scores (from 0.29 to 0.39 across recent 10-Qs) reflect the company's increasingly intricate capital structure disclosures, particularly the August 2025 refinancing, rather than obfuscation.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omission of DBMG Infrastructure segment backlog data. The Q1 2025 filing disclosed backlog of $1,369.9 million with a granular breakdown between contracts and letters of intent (see 10-Q filed 2025-08-05, p.52), but this quantitative pipeline metric is absent from the Q2 filing. For downstream purchasers relying on VATE's infrastructure subsidiaries, backlog visibility is a direct indicator of capacity utilization and project continuity. Its disappearance—while potentially a quarterly cadence choice—limits forward-looking assessment of the segment.</w:t>
      </w:r>
    </w:p>
    <w:p>
      <w:pPr>
        <w:spacing w:after="120" w:before="40"/>
      </w:pPr>
      <w:r>
        <w:rPr>
          <w:rFonts w:ascii="Arial" w:hAnsi="Arial"/>
          <w:i w:val="0"/>
          <w:color w:val="000000"/>
          <w:sz w:val="18"/>
        </w:rPr>
        <w:t>A secondary concern involves reduced operational specificity around subsidiary capabilities. Prior filings described DBMG's integrated service offering through named entities like GrayWolf Industrial and Aitken Manufacturing (see 10-Q filed 2025-08-05, p.16), while the current filing shifts to litigation-context references (see 10-Q filed 2025-08-05, p.33). This is a modest transparency reduction but does not suggest systematic obfuscation. The company's going concern status and near-breach of its minimum liquidity covenant (cured via $2.9 million in securities liquidation) remain the dominant risk factor, though disclosure of this cure mechanism was actually additive relative to prior filings.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VATE's absolute vagueness sits near the sector 75th percentile, making it less transparent than the typical peer. However, the improving trajectory distinguishes it from companies actively degrading disclosure. Peer comparison should be interpreted cautiously: VATE's multi-segment conglomerate structure (infrastructure, life sciences, spectrum) is atypical within this universe, which may inflate relative vagueness scores structurally.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VATE's Q2 2025 earnings call transcript and investor presentation to determine whether DBMG backlog data was disclosed outside the 10-Q, confirming whether the omission is a filing choice or a substantive withdrawal. Second, for any portfolio companies with direct contractual exposure to DBMG or its subsidiaries, cross-reference project timelines against VATE's liquidity position and covenant headroom, which remains razor-thin. Third, monitor the Q3 filing for whether backlog disclosure resumes and whether subsidiary-level operational detail is restored.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