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VECO</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3  |  Borderline: 1  |  Dismissed: 1</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0.1879  |  Complexity: 0.3912</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0.1854  |  Complexity: 0.3962</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+0.0025  |  Complexity: -0.0050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Veeco Instruments Inc. (VECO) presents a notable supply chain disclosure risk: the Claude Analysis flags HIGH concern over the systematic removal of specific tariff, customer cancellation, and R&amp;D cost disclosures from Q2 filings, while FinBERT ranks the company's vagueness LOW relative to sector peers. This divergence likely reflects the company's short quarterly filings scoring well statistically even as qualitative specificity degrades. We recommend elevated monitoring and direct engagement with VECO management on tariff pass-through and China revenue exposure.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VECO's FinBERT vagueness score of 0.19 in recent 10-Qs sits well below the sector mean of 0.51, placing it in the bottom quartile of the 185-company universe — ostensibly a positive signal. However, the 10-K filings score much higher (0.76 in February 2025), and quarterly vagueness has been essentially flat. The statistical model captures aggregate language quality but may miss targeted removal of specific risk sentences within otherwise precise filings.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explicit customer order cancellation and renegotiation warnings (see 10-Q filed 2025-05-07, p.27) from Risk Factors at precisely the moment VECO's own MD&amp;A acknowledges declining China customer engagement and expected revenue declines. This pattern — withdrawing a risk disclosure as the risk materializes — warrants serious attention from any downstream buyer relying on VECO's supply continuity. Equally concerning, the company eliminated granular tariff risk factors that had specified 25% steel/aluminum tariffs, reciprocal tariff dynamics, and competitive disadvantage versus foreign manufacturers , despite no resolution in the trade environment.</w:t>
      </w:r>
    </w:p>
    <w:p>
      <w:pPr>
        <w:spacing w:after="120" w:before="40"/>
      </w:pPr>
      <w:r>
        <w:rPr>
          <w:rFonts w:ascii="Arial" w:hAnsi="Arial"/>
          <w:i w:val="0"/>
          <w:color w:val="000000"/>
          <w:sz w:val="18"/>
        </w:rPr>
        <w:t>Additionally, VECO replaced specific R&amp;D expense drivers — citing personnel cost reductions under a cost management initiative — with generic innovation boilerplate . This obscures whether ongoing headcount reductions signal underinvestment in critical semiconductor equipment R&amp;D programs, a concern for customers dependent on VECO's technology roadmap.</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VECO's quarterly filings score statistically cleaner than most semiconductor equipment peers, ranking in the bottom quartile for vagueness. However, this comparison has a known limitation: the FinBERT model evaluates aggregate filing language rather than tracking the removal of specific material sentences across periods, which is where VECO's disclosure degradation is concentrated.</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pursue three due diligence steps: first, examine VECO's backlog disclosures and customer concentration data for evidence of China-related order cancellations or deferrals that align with the removed risk language. Second, engage VECO investor relations directly on gross margin trajectory and whether tariff costs are being absorbed or passed through to customers. Third, track R&amp;D expense as a percentage of revenue over the trailing six quarters to determine whether personnel reductions represent structural underinvestment affecting product roadmap commitments to downstream customers.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16:13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