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VELO</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5  |  Borderline: 1  |  Dismissed: 9</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0.2430  |  Complexity: 0.2493</w:t>
            </w:r>
          </w:p>
        </w:tc>
      </w:tr>
      <w:tr>
        <w:tc>
          <w:tcPr>
            <w:tcW w:type="dxa" w:w="2880"/>
            <w:shd w:val="clear" w:color="auto" w:fill="EBF3FB"/>
          </w:tcPr>
          <w:p>
            <w:pPr>
              <w:spacing w:before="60" w:after="60"/>
            </w:pPr>
            <w:r>
              <w:rPr>
                <w:rFonts w:ascii="Arial" w:hAnsi="Arial"/>
                <w:b/>
                <w:sz w:val="17"/>
              </w:rPr>
              <w:t>Prior (10-Q 2025-05-15)</w:t>
            </w:r>
          </w:p>
        </w:tc>
        <w:tc>
          <w:tcPr>
            <w:tcW w:type="dxa" w:w="7200"/>
          </w:tcPr>
          <w:p>
            <w:pPr>
              <w:spacing w:before="60" w:after="60"/>
            </w:pPr>
            <w:r>
              <w:rPr>
                <w:rFonts w:ascii="Arial" w:hAnsi="Arial"/>
                <w:sz w:val="17"/>
              </w:rPr>
              <w:t>Vagueness: 0.2507  |  Complexity: 0.2390</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-0.0077  |  Complexity: +0.0103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VELO3D, Inc. (VELO) presents elevated supply chain disclosure risk based on Claude Analysis (HIGH signal), driven by systematic removal of material weakness details, tariff specifics, and regulatory compliance language across consecutive quarterly filings. The FinBERT signal is LOW, reflecting below-average vagueness relative to the sector—a divergence likely explained by VELO's shorter, more formulaic filings scoring well statistically while masking qualitative content stripping. For any portfolio company relying on VELO as a supplier, we recommend heightened due diligence and direct engagement on internal controls and tariff exposure.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VELO's FinBERT vagueness score of 0.243 sits 26 percentage points below the sector mean of 0.507, placing it well below the 25th percentile of the 185-company universe. Quarterly filings consistently score lower in vagueness than annual filings (a structural pattern). The latest quarter showed negligible change (vagueness -0.008). The statistical model captures lexical precision but does not detect the removal of previously disclosed content—precisely the degradation pattern Claude identified.</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consequential finding is the complete elimination of material weakness descriptions and remediation plans from MD&amp;A between the Q1 and Q2 2025 10-Q filings. The prior quarter enumerated six specific weaknesses spanning control environment, segregation of duties, debt/equity instruments, inventory, contract assets, and IT general controls, alongside concrete remediation steps including hiring plans and third-party engagements (see 10-Q filed 2025-05-15, p.43). The current filing contains none of this detail (see 10-Q filed 2025-08-06, p.54), despite no evidence the weaknesses were remediated. For a company whose disclosure controls were explicitly deemed "not effective" one quarter earlier, this omission is alarming.</w:t>
      </w:r>
    </w:p>
    <w:p>
      <w:pPr>
        <w:spacing w:after="120" w:before="40"/>
      </w:pPr>
      <w:r>
        <w:rPr>
          <w:rFonts w:ascii="Arial" w:hAnsi="Arial"/>
          <w:i w:val="0"/>
          <w:color w:val="000000"/>
          <w:sz w:val="18"/>
        </w:rPr>
        <w:t>Equally concerning is the systematic replacement of specific tariff data—25% on Canada, 25% on Mexico, 10% on China, $155 billion in Canadian countermeasures—with vague references to "increasing component costs" . Tariffs have since been implemented and should be more quantifiable, not less. Concurrently, detailed FCPA, ITAR, OFAC, and export control risk language was stripped from a company serving defense and aerospace customers with international operations , an inexplicable reduction for a firm in this regulatory posture.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Relative to sector peers, VELO's statistical vagueness is low, but qualitative comparison reveals meaningful gaps. Peers with comparable international exposure, such as Trio-Tech International, provide specific currency impacts, government grant figures, and trade-tension commentary. VELO's current filings lack equivalent specificity. Note that the peer universe may include imperfect comparables given VELO's niche in metal additive manufacturing.</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with portfolio exposure to VELO as a supplier should take three steps: (1) review VELO's full Q2 2025 10-Q Item 4 (Controls and Procedures) directly to determine whether the six material weaknesses are disclosed elsewhere or truly omitted; (2) request from VELO management a written quantification of current tariff rates applicable to their supply chain inputs and the dollar impact on component costs; and (3) assess whether VELO's near-term financing risk, given 30-60% interest rate debt, creates continuity exposure for downstream customers.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