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VMI</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0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0.4231  |  Complexity: 0.2425</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0.2025  |  Complexity: 0.1828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+0.2206  |  Complexity: +0.0597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Valmont Industries (VMI) presents a MEDIUM supply chain disclosure risk supported by converging signals from both Claude Analysis (MEDIUM) and FinBERT (MEDIUM). The most material concern is the complete removal of a $230M Mexico steel import quantification from the latest 10-K, occurring precisely when US tariff policy on Mexican steel intensified. Annual filing vagueness increased modestly year-over-year. Portfolio managers with VMI exposure in their supply chains should seek clarity on the company's current cross-border steel sourcing profile through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VMI's latest 10-K vagueness score of 0.778 sits above the sector 75th percentile (0.596) and exceeds the 185-company mean of 0.507, though the overall company average nets slightly below the mean (-0.08) due to lower-vagueness quarterly filings. The most recent 10-Q rose sharply in vagueness (+0.22 vs. prior quarter), reversing a favorable trend observed in mid-2024. Year-over-year 10-K vagueness edged higher (0.758 to 0.778), suggesting a gradual erosion in annual report specificity.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confirmed disclosure degradation is the elimination of a specific $230M quantification of fabricated steel structures imported from Mexico, along with the entire 'Macroeconomic and Geopolitical Impacts' subsection that contextualized cross-border manufacturing exposure . In the current filing, this substantive risk discussion was replaced by an unrelated supplier finance program description , effectively removing a key input for modeling tariff-driven cost pressures on VMI's Utility segment.</w:t>
      </w:r>
    </w:p>
    <w:p>
      <w:pPr>
        <w:spacing w:after="120" w:before="40"/>
      </w:pPr>
      <w:r>
        <w:rPr>
          <w:rFonts w:ascii="Arial" w:hAnsi="Arial"/>
          <w:i w:val="0"/>
          <w:color w:val="000000"/>
          <w:sz w:val="18"/>
        </w:rPr>
        <w:t>The timing is particularly notable. US tariffs on Mexican steel imports have escalated since early 2025, making this disclosure more decision-useful than ever for downstream customers and investors evaluating landed costs. Removing a dollar-denominated import figure precisely when trade policy risk peaks raises legitimate questions about whether management is avoiding disclosure that could invite scrutiny of margin compression or supply chain restructuring costs. Of five flags initially screened, four were dismissed as peer comparison artifacts, but this single genuine flag carries outsized materiality given the current policy environment.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VMI's annual filing vagueness exceeds the sector 75th percentile, placing it among the less transparent filers in the 185-company industrial universe. Quarterly filings are more concise and less vague, which partially offsets the annual score. Note that peer selection in this sector universe may include companies with materially different business models, which limits direct comparability on disclosure norms.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VMI's recent earnings call transcripts for management commentary on tariff impacts and Mexico import volumes to determine whether the $230M figure has grown, shrunk, or been restructured. Second, review VMI's Utility segment gross margins over the last two quarters for signs of tariff-driven cost absorption that the filing no longer contextualizes. Third, if VMI is a direct or indirect supplier in your portfolio's infrastructure supply chain, engage investor relations to request updated Mexico-sourced import exposure figures before the next annual filing cycle.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