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VYX</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3  |  Borderline: 2  |  Dismissed: 1</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2025-08-07)</w:t>
            </w:r>
          </w:p>
        </w:tc>
        <w:tc>
          <w:tcPr>
            <w:tcW w:type="dxa" w:w="7200"/>
          </w:tcPr>
          <w:p>
            <w:pPr>
              <w:spacing w:before="60" w:after="60"/>
            </w:pPr>
            <w:r>
              <w:rPr>
                <w:rFonts w:ascii="Arial" w:hAnsi="Arial"/>
                <w:sz w:val="17"/>
              </w:rPr>
              <w:t>Vagueness: 0.2144  |  Complexity: 0.1612</w:t>
            </w:r>
          </w:p>
        </w:tc>
      </w:tr>
      <w:tr>
        <w:tc>
          <w:tcPr>
            <w:tcW w:type="dxa" w:w="2880"/>
            <w:shd w:val="clear" w:color="auto" w:fill="EBF3FB"/>
          </w:tcPr>
          <w:p>
            <w:pPr>
              <w:spacing w:before="60" w:after="60"/>
            </w:pPr>
            <w:r>
              <w:rPr>
                <w:rFonts w:ascii="Arial" w:hAnsi="Arial"/>
                <w:b/>
                <w:sz w:val="17"/>
              </w:rPr>
              <w:t>Prior (10-Q 2025-05-08)</w:t>
            </w:r>
          </w:p>
        </w:tc>
        <w:tc>
          <w:tcPr>
            <w:tcW w:type="dxa" w:w="7200"/>
          </w:tcPr>
          <w:p>
            <w:pPr>
              <w:spacing w:before="60" w:after="60"/>
            </w:pPr>
            <w:r>
              <w:rPr>
                <w:rFonts w:ascii="Arial" w:hAnsi="Arial"/>
                <w:sz w:val="17"/>
              </w:rPr>
              <w:t>Vagueness: 0.2545  |  Complexity: 0.1741</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-0.0401  |  Complexity: -0.0129</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VYX presents a divergent risk signal: Claude Analysis flags HIGH disclosure degradation—removal of quantitative hedge sensitivity data, elimination of customer credit risk language, and sparse supply chain discussion during a major hardware outsourcing transition—while FinBERT ranks the company's vagueness as LOW relative to its sector (29th percentile below mean). The divergence likely reflects that VYX's 10-Q filings are structurally concise (low baseline vagueness) but have undergone targeted removal of material quantitative content. We recommend enhanced monitoring and direct engagement with management on the specific disclosure gaps identified.</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VYX's latest 10-Q vagueness score of 0.2144 sits well below the sector mean of 0.5066, placing it in the lower quartile and explaining the FinBERT LOW signal. Vagueness actually improved slightly versus the prior quarter (-0.04), and complexity also declined modestly. However, these aggregate statistics mask targeted content removals: short, clean filings can still omit material information. The FinBERT signal reflects overall linguistic tone, not the absence of previously disclosed specifics.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replacement of a detailed hedge portfolio sensitivity analysis—previously quantifying specific dollar impacts from currency movements—with a single assertion: "We believe that the reserves for potential losses are adequate" (see 10-Q filed 2025-08-07, p.50). This substitution eliminates decision-relevant data on FX and credit exposure without explanation, precisely the type of targeted opacity that aggregate vagueness metrics cannot detect.</w:t>
      </w:r>
    </w:p>
    <w:p>
      <w:pPr>
        <w:spacing w:after="120" w:before="40"/>
      </w:pPr>
      <w:r>
        <w:rPr>
          <w:rFonts w:ascii="Arial" w:hAnsi="Arial"/>
          <w:i w:val="0"/>
          <w:color w:val="000000"/>
          <w:sz w:val="18"/>
        </w:rPr>
        <w:t>Equally concerning, VYX removed explicit disclosure that it engages in large uncollateralized customer transactions with exposure to "potentially significant losses" (see 10-Q filed 2025-08-07, p.50). The current filing offers only a boilerplate cross-reference to the annual 10-K . Meanwhile, VYX is executing a fundamental supply chain restructuring via an ODM agreement with Ennoconn yet provides no discussion of tariff exposure, supplier concentration risk, or execution risk—a notable gap given the current trade policy environment and peers' explicit tariff mitigation disclosures.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Peers such as Diebold Nixdorf disclose quantified indirect tax contingencies and detailed tariff mitigation strategies, while NCR Atleos provides granular segment-level revenue drivers. VYX's quarterly filings are notably sparser on risk factors. Peer selection includes companies with different business mixes, which is a known limitation, but the directional gap in supply chain and credit risk transparency is substantive.</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first review VYX's most recent 10-K to determine whether the removed hedge sensitivity and customer credit risk disclosures were relocated or permanently eliminated. Second, engage VYX investor relations directly on Ennoconn concentration risk, tariff exposure on imported hardware components, and the rationale for discontinuing quantitative FX sensitivity analysis. Third, monitor the next quarterly filing for whether disclosure gaps persist or widen, as continuation would strengthen the degradation thesis.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16:14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