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WDC</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4  |  Borderline: 5  |  Dismissed: 6</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(10-K 2025-08-14)</w:t>
            </w:r>
          </w:p>
        </w:tc>
        <w:tc>
          <w:tcPr>
            <w:tcW w:type="dxa" w:w="7200"/>
          </w:tcPr>
          <w:p>
            <w:pPr>
              <w:spacing w:before="60" w:after="60"/>
            </w:pPr>
            <w:r>
              <w:rPr>
                <w:rFonts w:ascii="Arial" w:hAnsi="Arial"/>
                <w:sz w:val="17"/>
              </w:rPr>
              <w:t>Vagueness: 0.7571  |  Complexity: 0.0513</w:t>
            </w:r>
          </w:p>
        </w:tc>
      </w:tr>
      <w:tr>
        <w:tc>
          <w:tcPr>
            <w:tcW w:type="dxa" w:w="2880"/>
            <w:shd w:val="clear" w:color="auto" w:fill="EBF3FB"/>
          </w:tcPr>
          <w:p>
            <w:pPr>
              <w:spacing w:before="60" w:after="60"/>
            </w:pPr>
            <w:r>
              <w:rPr>
                <w:rFonts w:ascii="Arial" w:hAnsi="Arial"/>
                <w:b/>
                <w:sz w:val="17"/>
              </w:rPr>
              <w:t>Prior (10-Q 2025-05-02)</w:t>
            </w:r>
          </w:p>
        </w:tc>
        <w:tc>
          <w:tcPr>
            <w:tcW w:type="dxa" w:w="7200"/>
          </w:tcPr>
          <w:p>
            <w:pPr>
              <w:spacing w:before="60" w:after="60"/>
            </w:pPr>
            <w:r>
              <w:rPr>
                <w:rFonts w:ascii="Arial" w:hAnsi="Arial"/>
                <w:sz w:val="17"/>
              </w:rPr>
              <w:t>Vagueness: 0.2328  |  Complexity: 0.2513</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+0.5243  |  Complexity: -0.2000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Western Digital Corporation (WDC) presents a divergent disclosure risk signal for downstream supply chain counterparties. The Claude Analysis assigns a MEDIUM signal, attributing much of the disclosure reduction to the legitimate February 2025 Separation of the Flash business. However, the FinBERT statistical model flags HIGH sector-relative vagueness, with WDC's latest 10-K vagueness score spiking to 0.7571—well above the sector 75th percentile of 0.5957. The most material concern is dramatically increased customer concentration paired with reduced qualitative risk discussion. Recommend enhanced monitoring and direct engagement with WDC investor relations.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WDC's FinBERT vagueness score surged from 0.2328 in the May 2025 10-Q to 0.7571 in the August 2025 10-K, a +0.5243 swing that places WDC 0.2505 above the sector mean of 0.5066 and above the 75th percentile. Complexity also declined, suggesting shorter, less detailed sentences. While 10-K filings structurally differ from 10-Qs, the prior-year 10-K scored only 0.5333, confirming a meaningful year-over-year deterioration in disclosure specificity even on a like-for-like basis.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consequential finding is the disconnect between rising customer concentration and declining risk narrative. WDC's top-10 customer share jumped from 39% to 68%, with three customers individually exceeding 10% of revenue, yet the qualitative discussion of pricing leverage, demand volatility, and channel vulnerability was substantially curtailed (see 10-K filed 2025-08-14, p.44). For a supply chain counterparty, this signals heightened revenue fragility in the standalone HDD business that is inadequately addressed in public filings.</w:t>
      </w:r>
    </w:p>
    <w:p>
      <w:pPr>
        <w:spacing w:after="120" w:before="40"/>
      </w:pPr>
      <w:r>
        <w:rPr>
          <w:rFonts w:ascii="Arial" w:hAnsi="Arial"/>
          <w:i w:val="0"/>
          <w:color w:val="000000"/>
          <w:sz w:val="18"/>
        </w:rPr>
        <w:t>Equally concerning is the near-complete elimination of human capital disclosures—from detailed headcount (~51,000), geographic splits, diversity metrics, and engagement data to three generic sentences about compensation cost variances . At a moment when post-Separation talent retention is operationally critical, this opacity is troubling. Additionally, specific dollar amounts for manufacturing overhead and inventory write-downs were replaced with percentage-point references, obscuring standalone HDD cost structure health (see 10-K filed 2025-08-14, p.20).</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WDC's vagueness score of 0.7571 places it meaningfully above the sector 75th percentile in a universe of 185 companies. While some inflation is expected from a post-separation restructuring year, the magnitude of the deviation warrants scrutiny. Peer selection limitations exist—the sector universe likely includes diversified technology firms whose disclosure norms differ from a pure-play HDD manufacturer.</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engage WDC investor relations directly to obtain current-year dollar amounts for unabsorbed manufacturing overhead, inventory write-downs, and the composition of the $1.03 billion operating asset cash usage. Second, analysts should identify the three customers representing 17%, 12%, and 10% of revenue—likely hyperscale cloud providers—and stress-test WDC revenue scenarios under demand pullback from any single counterparty. Third, request updated post-Separation headcount and workforce retention data to assess execution risk on the HAMR technology ramp.</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16:14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