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WETH</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3  |  Borderline: 3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(10-K 2025-09-11)</w:t>
            </w:r>
          </w:p>
        </w:tc>
        <w:tc>
          <w:tcPr>
            <w:tcW w:type="dxa" w:w="7200"/>
          </w:tcPr>
          <w:p>
            <w:pPr>
              <w:spacing w:before="60" w:after="60"/>
            </w:pPr>
            <w:r>
              <w:rPr>
                <w:rFonts w:ascii="Arial" w:hAnsi="Arial"/>
                <w:sz w:val="17"/>
              </w:rPr>
              <w:t>Vagueness: 0.5786  |  Complexity: 0.1431</w:t>
            </w:r>
          </w:p>
        </w:tc>
      </w:tr>
      <w:tr>
        <w:tc>
          <w:tcPr>
            <w:tcW w:type="dxa" w:w="2880"/>
            <w:shd w:val="clear" w:color="auto" w:fill="EBF3FB"/>
          </w:tcPr>
          <w:p>
            <w:pPr>
              <w:spacing w:before="60" w:after="60"/>
            </w:pPr>
            <w:r>
              <w:rPr>
                <w:rFonts w:ascii="Arial" w:hAnsi="Arial"/>
                <w:b/>
                <w:sz w:val="17"/>
              </w:rPr>
              <w:t>Prior (10-Q 2024-11-14)</w:t>
            </w:r>
          </w:p>
        </w:tc>
        <w:tc>
          <w:tcPr>
            <w:tcW w:type="dxa" w:w="7200"/>
          </w:tcPr>
          <w:p>
            <w:pPr>
              <w:spacing w:before="60" w:after="60"/>
            </w:pPr>
            <w:r>
              <w:rPr>
                <w:rFonts w:ascii="Arial" w:hAnsi="Arial"/>
                <w:sz w:val="17"/>
              </w:rPr>
              <w:t>Vagueness: 0.4784  |  Complexity: 0.2674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+0.1002  |  Complexity: -0.1243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WETH presents a MEDIUM supply chain disclosure risk on both the Claude Analysis and FinBERT signals, with convergent concern. The most recent 10-K shows a notable +10 percentage point jump in vagueness, driven primarily by the wholesale removal of eight specific litigation matters (aggregating ~$8M+ in claims) and replaced with generic boilerplate. Near-complete board and C-suite turnover in 2024-2025 lacks any corresponding human capital risk disclosure. Analysts with WETH supply chain exposure should escalate governance and legal contingency diligence immediately.</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WETH's latest 10-K vagueness score of 0.579 sits above the sector mean of 0.507 and approaches the 75th percentile (0.596) of the 185-company universe. The +0.100 vagueness increase from the prior 10-K is significant and reverses a pattern of relatively stable scores across the intervening 10-Q filings (range 0.471–0.495). Complexity declined modestly, suggesting the filing did not become more technically dense — rather, specific quantitative detail was simply stripped out.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degradation is the elimination of all case-specific legal proceedings. Eight previously disclosed matters — including the Chengdu Hongxin case (RMB 3.0M) and Yali Co. joint liability action (RMB 1.7M), both pending at last report — were replaced with a single boilerplate sentence offering no resolution status or updated contingent liability figures . The prior filing had disclosed exact claim amounts, court fees, and accrued litigation compensation that are now entirely absent . This is problematic for supply chain counterparties assessing legal and financial stability.</w:t>
      </w:r>
    </w:p>
    <w:p>
      <w:pPr>
        <w:spacing w:after="120" w:before="40"/>
      </w:pPr>
      <w:r>
        <w:rPr>
          <w:rFonts w:ascii="Arial" w:hAnsi="Arial"/>
          <w:i w:val="0"/>
          <w:color w:val="000000"/>
          <w:sz w:val="18"/>
        </w:rPr>
        <w:t>Equally concerning is the absence of human capital risk disclosure despite extraordinary governance turnover — the Chairman, CFO, and multiple directors resigned in 2024-2025, with the CEO earning approximately $13K annually . A previously disclosed material weakness for 'inadequate segregation of duties' was quietly removed without remediation explanation, while the company cycled through three audit firms in rapid succession, including one subsequently sanctioned by the SEC . Together, these omissions suggest a governance environment where transparency is deteriorating precisely when stakeholders need it most.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WETH's product risk and human capital disclosures fall materially below sector peers. Comparable manufacturers provide detailed product defect, technology obsolescence, and key-person dependency language that WETH omits entirely. However, peer selection is a known limitation here — the reference set includes asset-light and post-transaction companies (e.g., INVE) that are imperfect comparators for a China-based touchscreen manufacturer.</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directly request from WETH's investor relations the current status and financial exposure of the Chengdu Hongxin and Yali Co. litigation matters, which disappeared from filings without resolution disclosure. Second, evaluate governance continuity risk by mapping the timeline of board resignations against audit committee composition to assess whether qualified oversight existed during the auditor transitions. Third, incorporate WETH's Nasdaq compliance deficiencies (late filings, bid-price notice) into counterparty credit monitoring frameworks.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