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WFRD</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0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2025-07-23)</w:t>
            </w:r>
          </w:p>
        </w:tc>
        <w:tc>
          <w:tcPr>
            <w:tcW w:type="dxa" w:w="7200"/>
          </w:tcPr>
          <w:p>
            <w:pPr>
              <w:spacing w:before="60" w:after="60"/>
            </w:pPr>
            <w:r>
              <w:rPr>
                <w:rFonts w:ascii="Arial" w:hAnsi="Arial"/>
                <w:sz w:val="17"/>
              </w:rPr>
              <w:t>Vagueness: 0.3340  |  Complexity: 0.0745</w:t>
            </w:r>
          </w:p>
        </w:tc>
      </w:tr>
      <w:tr>
        <w:tc>
          <w:tcPr>
            <w:tcW w:type="dxa" w:w="2880"/>
            <w:shd w:val="clear" w:color="auto" w:fill="EBF3FB"/>
          </w:tcPr>
          <w:p>
            <w:pPr>
              <w:spacing w:before="60" w:after="60"/>
            </w:pPr>
            <w:r>
              <w:rPr>
                <w:rFonts w:ascii="Arial" w:hAnsi="Arial"/>
                <w:b/>
                <w:sz w:val="17"/>
              </w:rPr>
              <w:t>Prior (10-Q 2025-04-23)</w:t>
            </w:r>
          </w:p>
        </w:tc>
        <w:tc>
          <w:tcPr>
            <w:tcW w:type="dxa" w:w="7200"/>
          </w:tcPr>
          <w:p>
            <w:pPr>
              <w:spacing w:before="60" w:after="60"/>
            </w:pPr>
            <w:r>
              <w:rPr>
                <w:rFonts w:ascii="Arial" w:hAnsi="Arial"/>
                <w:sz w:val="17"/>
              </w:rPr>
              <w:t>Vagueness: 0.3332  |  Complexity: 0.0882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+0.0008  |  Complexity: -0.0137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Weatherford International plc (WFRD) presents minimal supply chain disclosure risk. Both the Claude Analysis signal (LOW) and FinBERT statistical signal (LOW) converge on this assessment. WFRD's 10-Q vagueness scores rank well below the oilfield services sector mean, and disclosure quality has remained stable across recent filings. The sole finding of note—relocation of Russia operations financial detail from Risk Factors to MD&amp;A—warrants monitoring but does not constitute meaningful degradation. No immediate action is required beyond routine surveillance.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WFRD's latest 10-Q vagueness score of 0.334 sits 17 percentage points below the sector mean of 0.507 and well beneath the 25th percentile threshold of 0.420, placing the company among the most transparent filers in a 185-company oilfield services universe. The quarter-over-quarter vagueness change of +0.0008 is negligible, and complexity declined modestly. The 10-K filings show higher vagueness (~0.73), consistent with standard annual filing verbosity, with no material deterioration year-over-year.</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only genuinely flagged item involves the removal of Russia operations financial detail from the Risk Factors section. Previously, WFRD disclosed specific asset and liability balances for its Russian subsidiary directly within Risk Factors (see 10-Q filed 2025-04-23, p.13), including $113 million in cash and $131 million in other current assets. In the latest filing, the corresponding Risk Factors passage was replaced with generic language on foreign exchange losses and financing charges (see 10-Q filed 2025-07-23, p.17). However, updated Russia figures ($103M cash, $151M other current assets, $78M PP&amp;E, $67M liabilities) remain disclosed in the MD&amp;A section, indicating a relocation rather than suppression of information.</w:t>
      </w:r>
    </w:p>
    <w:p>
      <w:pPr>
        <w:spacing w:after="120" w:before="40"/>
      </w:pPr>
      <w:r>
        <w:rPr>
          <w:rFonts w:ascii="Arial" w:hAnsi="Arial"/>
          <w:i w:val="0"/>
          <w:color w:val="000000"/>
          <w:sz w:val="18"/>
        </w:rPr>
        <w:t>This structural shift modestly reduces the prominence of WFRD's $265 million net Russia exposure but does not eliminate the disclosure. Six other flagged items were dismissed upon investigation—most stemmed from misdirected peer comparisons or immaterial boilerplate changes. WFRD continues to provide exceptionally granular segment-level revenue attribution, geographic breakdowns, and comprehensive debt financing disclosures that compare favorably to sector norms.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WFRD's vagueness scores consistently rank in the bottom quartile of the 185-company oilfield services sector, indicating above-average transparency. Its segment and geographic revenue detail exceeds typical peer disclosure. The peer comparison methodology in this analysis has known limitations given the breadth of the OFS sector, but WFRD's quantitative positioning is sufficiently clear to support a favorable relative assessment.</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monitor whether Russia-specific financial detail continues to appear in MD&amp;A in future filings or is further de-emphasized, as the $265 million net exposure remains material. As a second step, analysts should track the trajectory of litigation settlement language in liquidity discussions, which was absent from the latest filing. No escalation or deeper forensic review is warranted at this time given signal convergence at LOW.</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