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WHD</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2  |  Dismissed: 8</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2025-07-31)</w:t>
            </w:r>
          </w:p>
        </w:tc>
        <w:tc>
          <w:tcPr>
            <w:tcW w:type="dxa" w:w="7200"/>
          </w:tcPr>
          <w:p>
            <w:pPr>
              <w:spacing w:before="60" w:after="60"/>
            </w:pPr>
            <w:r>
              <w:rPr>
                <w:rFonts w:ascii="Arial" w:hAnsi="Arial"/>
                <w:sz w:val="17"/>
              </w:rPr>
              <w:t>Vagueness: 0.2699  |  Complexity: 0.2679</w:t>
            </w:r>
          </w:p>
        </w:tc>
      </w:tr>
      <w:tr>
        <w:tc>
          <w:tcPr>
            <w:tcW w:type="dxa" w:w="2880"/>
            <w:shd w:val="clear" w:color="auto" w:fill="EBF3FB"/>
          </w:tcPr>
          <w:p>
            <w:pPr>
              <w:spacing w:before="60" w:after="60"/>
            </w:pPr>
            <w:r>
              <w:rPr>
                <w:rFonts w:ascii="Arial" w:hAnsi="Arial"/>
                <w:b/>
                <w:sz w:val="17"/>
              </w:rPr>
              <w:t>Prior (10-Q 2025-05-01)</w:t>
            </w:r>
          </w:p>
        </w:tc>
        <w:tc>
          <w:tcPr>
            <w:tcW w:type="dxa" w:w="7200"/>
          </w:tcPr>
          <w:p>
            <w:pPr>
              <w:spacing w:before="60" w:after="60"/>
            </w:pPr>
            <w:r>
              <w:rPr>
                <w:rFonts w:ascii="Arial" w:hAnsi="Arial"/>
                <w:sz w:val="17"/>
              </w:rPr>
              <w:t>Vagueness: 0.2822  |  Complexity: 0.1811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-0.0123  |  Complexity: +0.0868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Cactus Inc. (WHD) presents a divergent risk signal for supply chain counterparties. Claude Analysis flags MEDIUM concern driven by the disappearance of detailed debt facility terms and capital return disclosures during the transformative Baker Hughes Transaction. However, FinBERT ranks WHD's vagueness as LOW relative to the oilfield services sector, placing it well below the sector mean. This divergence likely reflects strong baseline disclosure quality obscuring targeted, transaction-related information gaps. Analysts should verify debt and capital allocation disclosures in financial statement notes before escalating.</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WHD's latest 10-Q vagueness score of 0.2699 sits approximately 0.24 below the sector mean of 0.5066, positioning the company firmly in the most transparent quartile among 185 oilfield services peers. Vagueness declined modestly from the prior quarter (−0.0123), while complexity rose (+0.0868). The annual 10-K filings show higher but stable vagueness (~0.65), consistent with typical 10-K structural verbosity. Overall, the quantitative trend does not indicate systematic disclosure deterioration.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specific Amended ABL Credit Facility terms—including the $125M term loan, $225M revolving commitment, precise interest rate margins, and maturity dates—from the current filing's MD&amp;A, replaced by generic language such as "we may also have the ability to issue additional equity and debt if needed" (see 10-Q filed 2025-07-31, p.23). This is particularly consequential given the June 2025 credit facility amendment and the pending Baker Hughes acquisition, which could materially alter WHD's capital structure and leverage profile.</w:t>
      </w:r>
    </w:p>
    <w:p>
      <w:pPr>
        <w:spacing w:after="120" w:before="40"/>
      </w:pPr>
      <w:r>
        <w:rPr>
          <w:rFonts w:ascii="Arial" w:hAnsi="Arial"/>
          <w:i w:val="0"/>
          <w:color w:val="000000"/>
          <w:sz w:val="18"/>
        </w:rPr>
        <w:t>The second concern involves the disappearance of concrete capital return metrics—dividends per share, the $150M repurchase authorization with $146.3M remaining, and member distribution figures—during this same transaction period (see 10-Q filed 2025-07-31, p.20). Whether the repurchase program has been suspended to fund the Baker Hughes Transaction is not addressed. Separately, the Vietnam joint venture ownership percentage (40%) was omitted from the current capex discussion, though the $6M investment amount appears elsewhere in the filing (see 10-Q filed 2025-07-31, p.10). These omissions may reflect relocation to financial statement notes rather than elimination, but the pattern of reduced specificity in the MD&amp;A during a transformative deal warrants scrutiny.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WHD's vagueness scores consistently rank in the most transparent tier of the 185-company oilfield services universe, well below the 25th percentile threshold of 0.4199. This strong relative positioning explains the FinBERT LOW signal. However, peer comparison is limited to aggregate vagueness metrics and does not capture targeted removal of specific disclosures that the qualitative analysis identified.</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WHD's Q2 2025 10-Q financial statement notes (Notes to Condensed Consolidated Financial Statements) to confirm whether Amended ABL Credit Facility terms, including the June 2025 amendment provisions, are fully disclosed outside the MD&amp;A (see 10-Q filed 2025-07-31, p.12). Second, verify the status of the $150M share repurchase program and current dividend policy through earnings call transcripts or investor presentations. Third, incorporate Baker Hughes Transaction closing conditions into supplier credit risk models, as WHD's capital structure may shift materially at close.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