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XPEL</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2  |  Borderline: 2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2025-08-08)</w:t>
            </w:r>
          </w:p>
        </w:tc>
        <w:tc>
          <w:tcPr>
            <w:tcW w:type="dxa" w:w="7200"/>
          </w:tcPr>
          <w:p>
            <w:pPr>
              <w:spacing w:before="60" w:after="60"/>
            </w:pPr>
            <w:r>
              <w:rPr>
                <w:rFonts w:ascii="Arial" w:hAnsi="Arial"/>
                <w:sz w:val="17"/>
              </w:rPr>
              <w:t>Vagueness: 0.3448  |  Complexity: 0.1246</w:t>
            </w:r>
          </w:p>
        </w:tc>
      </w:tr>
      <w:tr>
        <w:tc>
          <w:tcPr>
            <w:tcW w:type="dxa" w:w="2880"/>
            <w:shd w:val="clear" w:color="auto" w:fill="EBF3FB"/>
          </w:tcPr>
          <w:p>
            <w:pPr>
              <w:spacing w:before="60" w:after="60"/>
            </w:pPr>
            <w:r>
              <w:rPr>
                <w:rFonts w:ascii="Arial" w:hAnsi="Arial"/>
                <w:b/>
                <w:sz w:val="17"/>
              </w:rPr>
              <w:t>Prior (10-Q 2025-05-09)</w:t>
            </w:r>
          </w:p>
        </w:tc>
        <w:tc>
          <w:tcPr>
            <w:tcW w:type="dxa" w:w="7200"/>
          </w:tcPr>
          <w:p>
            <w:pPr>
              <w:spacing w:before="60" w:after="60"/>
            </w:pPr>
            <w:r>
              <w:rPr>
                <w:rFonts w:ascii="Arial" w:hAnsi="Arial"/>
                <w:sz w:val="17"/>
              </w:rPr>
              <w:t>Vagueness: 0.3689  |  Complexity: 0.1319</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-0.0241  |  Complexity: -0.0073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XPEL Inc. presents a divergent disclosure risk signal: Claude Analysis flags MEDIUM concern driven by the disappearance of specific China distributor dependency and granular expense attribution language, while FinBERT ranks XPEL's vagueness as LOW relative to its sector (16 percentage points below the sector mean). The divergence likely reflects that FinBERT captures overall filing clarity—which remains strong—while Claude detected targeted removal of previously material risk disclosures. Supply chain analysts should verify whether China distributor concentration risk has genuinely been mitigated or merely obscured.</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XPEL's latest 10-Q vagueness score of 0.3448 sits well below the sector mean of 0.5066 and beneath the 25th percentile threshold of 0.4199, indicating above-average filing clarity. The most recent quarter showed a slight improvement (vagueness declined 0.024 sequentially). Annual 10-K filings register higher vagueness (~0.80) than quarterly filings (~0.36), a common structural pattern. The FinBERT trend is benign and directionally improving.</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explicit China single-distributor dependency language from XPEL's risk factor disclosures. The prior filing stated the company relies on "one distributor for our products in China" with concentrated revenue exposure (see 10-Q filed 2025-08-08, p.13), while the current filing replaces this with generic boilerplate about relationship disruptions . Given the current U.S.-China trade environment and XPEL's meaningful international revenue, the disappearance of this specific risk without explanation warrants immediate clarification—either the company has diversified its China distribution channel (a positive development worth confirming) or it has deliberately diluted a material risk disclosure.</w:t>
      </w:r>
    </w:p>
    <w:p>
      <w:pPr>
        <w:spacing w:after="120" w:before="40"/>
      </w:pPr>
      <w:r>
        <w:rPr>
          <w:rFonts w:ascii="Arial" w:hAnsi="Arial"/>
          <w:i w:val="0"/>
          <w:color w:val="000000"/>
          <w:sz w:val="18"/>
        </w:rPr>
        <w:t>Secondarily, XPEL's prior MD&amp;A attributed SG&amp;A increases to specific drivers including "severance-related personnel, occupancy, and information technology costs" (see 10-Q filed 2025-05-09, p.15), whereas the corresponding current period section lacks comparable granularity. This reduction in expense attribution transparency, while less critical than the China distributor issue, compounds the pattern of declining MD&amp;A specificity that explains the Claude MEDIUM signal despite strong FinBERT scores.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Relative to the broader sector, XPEL's quantitative disclosure quality remains above average per FinBERT metrics. However, peer comparisons against companies like National Presto Industries suggest XPEL may lag in segment-level personnel cost quantification. The peer set used includes structural mismatches (defense, firearms manufacturers), which is a known limitation of the current peer selection methodology and may overstate comparative gaps.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review XPEL's full 10-K risk factors and recent earnings call transcripts to determine whether China distributor diversification has occurred, and if so, request management confirmation of the current distribution structure. Second, examine the complete MD&amp;A expense discussion in the latest 10-Q to verify whether granular cost attribution exists elsewhere in the filing or has genuinely been removed. Third, monitor subsequent filings for further erosion of geographic concentration disclosures, particularly given tariff and geopolitical risks affecting XPEL's international supply chain.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16:16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