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XRX</w:t>
      </w:r>
    </w:p>
    <w:p>
      <w:pPr>
        <w:spacing w:after="40"/>
      </w:pPr>
      <w:r>
        <w:rPr>
          <w:rFonts w:ascii="Arial" w:hAnsi="Arial"/>
          <w:b/>
          <w:color w:val="1F3D6B"/>
          <w:sz w:val="20"/>
        </w:rPr>
        <w:t xml:space="preserve">CLAUDE ANALYSIS: </w:t>
      </w:r>
      <w:r>
        <w:rPr>
          <w:rFonts w:ascii="Arial" w:hAnsi="Arial"/>
          <w:b/>
          <w:color w:val="C00000"/>
          <w:sz w:val="20"/>
        </w:rPr>
        <w:t>HIGH</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4  |  Borderline: 3  |  Dismissed: 4</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2025-08-07)</w:t>
            </w:r>
          </w:p>
        </w:tc>
        <w:tc>
          <w:tcPr>
            <w:tcW w:type="dxa" w:w="7200"/>
          </w:tcPr>
          <w:p>
            <w:pPr>
              <w:spacing w:before="60" w:after="60"/>
            </w:pPr>
            <w:r>
              <w:rPr>
                <w:rFonts w:ascii="Arial" w:hAnsi="Arial"/>
                <w:sz w:val="17"/>
              </w:rPr>
              <w:t>Vagueness: 0.3048  |  Complexity: 0.1413</w:t>
            </w:r>
          </w:p>
        </w:tc>
      </w:tr>
      <w:tr>
        <w:tc>
          <w:tcPr>
            <w:tcW w:type="dxa" w:w="2880"/>
            <w:shd w:val="clear" w:color="auto" w:fill="EBF3FB"/>
          </w:tcPr>
          <w:p>
            <w:pPr>
              <w:spacing w:before="60" w:after="60"/>
            </w:pPr>
            <w:r>
              <w:rPr>
                <w:rFonts w:ascii="Arial" w:hAnsi="Arial"/>
                <w:b/>
                <w:sz w:val="17"/>
              </w:rPr>
              <w:t>Prior (10-Q 2025-05-12)</w:t>
            </w:r>
          </w:p>
        </w:tc>
        <w:tc>
          <w:tcPr>
            <w:tcW w:type="dxa" w:w="7200"/>
          </w:tcPr>
          <w:p>
            <w:pPr>
              <w:spacing w:before="60" w:after="60"/>
            </w:pPr>
            <w:r>
              <w:rPr>
                <w:rFonts w:ascii="Arial" w:hAnsi="Arial"/>
                <w:sz w:val="17"/>
              </w:rPr>
              <w:t>Vagueness: 0.2662  |  Complexity: 0.1588</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+0.0386  |  Complexity: -0.0175</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Xerox Holdings Corporation (XRX) presents a materially elevated supply chain monitoring risk driven by systematic thinning of disclosure precisely when the Lexmark acquisition has expanded operational complexity. The Claude Analysis signal is HIGH, identifying genuine degradation across supply chain commitments, non-GAAP reconciliations, and geopolitical risk disclosures. The FinBERT signal is LOW, placing XRX well below sector-mean vagueness, likely because the remaining text is concise rather than evasive. This divergence suggests disclosure is becoming sparse, not vague—a form of transparency erosion FinBERT's lexical approach may underweight. Recommend escalated due diligence on post-acquisition supply chain exposure.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XRX's FinBERT vagueness score of 0.305 sits 20 percentage points below the sector mean of 0.507, placing it near the bottom quartile of the 185-company universe. The latest 10-Q shows a modest uptick in vagueness (+0.039 versus the prior quarter) but complexity declined. The low vagueness ranking likely reflects brevity rather than clarity—XRX's filings contain fewer hedging phrases because substantive detail has been removed entirely, a pattern FinBERT's sentence-level scoring does not penalize.</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systematic stripping of supply chain disclosures coinciding with the Lexmark acquisition. Prior filings quantified that "Revenues from Print Services and Financing, which is more than 60% of total Print revenue, has minimal reliance on imported products" and disclosed embedded operating leases within supply chain contracts (see 10-Q filed 2025-05-12, p.40). The current filing reduces this to a single sentence about Lexmark's Juarez facility being USMCA-compliant (see 10-Q filed 2025-08-07, p.49), with no purchase commitment quantification—a stark contrast to peers like Logitech, which discloses $368.7 million in non-cancelable commitments.</w:t>
      </w:r>
    </w:p>
    <w:p>
      <w:pPr>
        <w:spacing w:after="120" w:before="40"/>
      </w:pPr>
      <w:r>
        <w:rPr>
          <w:rFonts w:ascii="Arial" w:hAnsi="Arial"/>
          <w:i w:val="0"/>
          <w:color w:val="000000"/>
          <w:sz w:val="18"/>
        </w:rPr>
        <w:t>Equally concerning, XRX replaced detailed non-GAAP reconciliation tables containing specific dollar amounts per adjustment line with categorical lists that omit magnitudes entirely (see 10-Q filed 2025-08-07, p.69). This erosion in earnings quality transparency arrives as Lexmark integration costs, restructuring charges, and inventory-related impacts are flowing through adjusted earnings. Meanwhile, geopolitical risk disclosure remains generic despite XRX now operating significant manufacturing in Shenzhen, China through Lexmark, with only boilerplate language about "new political, economic, legal, operational" risks (see 10-Q filed 2025-08-07, p.76)—materially inadequate given active U.S.-China tariff escalation.</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XRX's supply chain and geopolitical disclosures fall well below peers in both its own sector and adjacent hardware manufacturers. Fortinet and Logitech provide substantially more granular purchase commitment, supplier concentration, and tariff exposure data. The peer set includes cross-sector comparisons, which is a known limitation of the current methodology, but even adjusting for business model differences, XRX's omissions are conspicuous.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pursue three due diligence steps: first, directly request from XRX investor relations the complete non-GAAP reconciliation table with dollar amounts and quantified non-cancelable purchase commitments for the combined entity. Second, independently estimate XRX's tariff exposure on Lexmark's Shenzhen-manufactured products using customs data and trade databases, given the company's silence on China-related supply chain risk. Third, benchmark XRX's post-acquisition disclosure density against its own pre-acquisition 10-K filings to establish whether thinning is accelerating and factor this opacity premium into position sizing.</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16:16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