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rFonts w:ascii="Arial" w:hAnsi="Arial"/>
          <w:b/>
          <w:color w:val="1F3D6B"/>
          <w:sz w:val="28"/>
        </w:rPr>
        <w:t>SUPPLIER DISCLOSURE RISK MEMO</w:t>
      </w:r>
    </w:p>
    <w:p>
      <w:pPr>
        <w:spacing w:after="80"/>
      </w:pPr>
      <w:r>
        <w:rPr>
          <w:rFonts w:ascii="Arial" w:hAnsi="Arial"/>
          <w:b/>
          <w:color w:val="1F3D6B"/>
          <w:sz w:val="24"/>
        </w:rPr>
        <w:t>XYL</w:t>
      </w:r>
    </w:p>
    <w:p>
      <w:pPr>
        <w:spacing w:after="40"/>
      </w:pPr>
      <w:r>
        <w:rPr>
          <w:rFonts w:ascii="Arial" w:hAnsi="Arial"/>
          <w:b/>
          <w:color w:val="1F3D6B"/>
          <w:sz w:val="20"/>
        </w:rPr>
        <w:t xml:space="preserve">CLAUDE ANALYSIS: </w:t>
      </w:r>
      <w:r>
        <w:rPr>
          <w:rFonts w:ascii="Arial" w:hAnsi="Arial"/>
          <w:b/>
          <w:color w:val="388638"/>
          <w:sz w:val="20"/>
        </w:rPr>
        <w:t>LOW</w:t>
      </w:r>
      <w:r>
        <w:rPr>
          <w:rFonts w:ascii="Arial" w:hAnsi="Arial"/>
          <w:color w:val="606060"/>
          <w:sz w:val="20"/>
        </w:rPr>
        <w:t xml:space="preserve">    |    </w:t>
      </w:r>
      <w:r>
        <w:rPr>
          <w:rFonts w:ascii="Arial" w:hAnsi="Arial"/>
          <w:b/>
          <w:color w:val="1F3D6B"/>
          <w:sz w:val="20"/>
        </w:rPr>
        <w:t xml:space="preserve">FINBERT VAGUENESS: </w:t>
      </w:r>
      <w:r>
        <w:rPr>
          <w:rFonts w:ascii="Arial" w:hAnsi="Arial"/>
          <w:b/>
          <w:color w:val="388638"/>
          <w:sz w:val="20"/>
        </w:rPr>
        <w:t>LOW</w:t>
      </w:r>
    </w:p>
    <w:p>
      <w:pPr>
        <w:spacing w:after="80"/>
      </w:pPr>
      <w:r>
        <w:rPr>
          <w:rFonts w:ascii="Arial" w:hAnsi="Arial"/>
          <w:color w:val="606060"/>
          <w:sz w:val="17"/>
        </w:rPr>
        <w:t>Generated: 09 April 2026  |  Genuine: 1  |  Borderline: 2  |  Dismissed: 4</w:t>
      </w:r>
    </w:p>
    <w:p>
      <w:pPr>
        <w:spacing w:before="80" w:after="80"/>
        <w:pBdr>
          <w:bottom w:val="single" w:sz="16" w:space="1" w:color="1F3D6B"/>
        </w:pBdr>
      </w:pPr>
    </w:p>
    <w:tbl>
      <w:tblPr>
        <w:tblStyle w:val="TableGrid"/>
        <w:tblW w:type="auto" w:w="0"/>
        <w:jc w:val="left"/>
        <w:tblLook w:firstColumn="1" w:firstRow="1" w:lastColumn="0" w:lastRow="0" w:noHBand="0" w:noVBand="1" w:val="04A0"/>
      </w:tblPr>
      <w:tblGrid>
        <w:gridCol w:w="4680"/>
        <w:gridCol w:w="4680"/>
      </w:tblGrid>
      <w:tr>
        <w:tc>
          <w:tcPr>
            <w:tcW w:type="dxa" w:w="2880"/>
            <w:shd w:val="clear" w:color="auto" w:fill="EBF3FB"/>
          </w:tcPr>
          <w:p>
            <w:pPr>
              <w:spacing w:before="60" w:after="60"/>
            </w:pPr>
            <w:r>
              <w:rPr>
                <w:rFonts w:ascii="Arial" w:hAnsi="Arial"/>
                <w:b/>
                <w:sz w:val="17"/>
              </w:rPr>
              <w:t>Most Recent (10-Q 2025-07-31)</w:t>
            </w:r>
          </w:p>
        </w:tc>
        <w:tc>
          <w:tcPr>
            <w:tcW w:type="dxa" w:w="7200"/>
          </w:tcPr>
          <w:p>
            <w:pPr>
              <w:spacing w:before="60" w:after="60"/>
            </w:pPr>
            <w:r>
              <w:rPr>
                <w:rFonts w:ascii="Arial" w:hAnsi="Arial"/>
                <w:sz w:val="17"/>
              </w:rPr>
              <w:t>Vagueness: 0.2384  |  Complexity: 0.0618</w:t>
            </w:r>
          </w:p>
        </w:tc>
      </w:tr>
      <w:tr>
        <w:tc>
          <w:tcPr>
            <w:tcW w:type="dxa" w:w="2880"/>
            <w:shd w:val="clear" w:color="auto" w:fill="EBF3FB"/>
          </w:tcPr>
          <w:p>
            <w:pPr>
              <w:spacing w:before="60" w:after="60"/>
            </w:pPr>
            <w:r>
              <w:rPr>
                <w:rFonts w:ascii="Arial" w:hAnsi="Arial"/>
                <w:b/>
                <w:sz w:val="17"/>
              </w:rPr>
              <w:t>Prior (10-Q 2025-04-29)</w:t>
            </w:r>
          </w:p>
        </w:tc>
        <w:tc>
          <w:tcPr>
            <w:tcW w:type="dxa" w:w="7200"/>
          </w:tcPr>
          <w:p>
            <w:pPr>
              <w:spacing w:before="60" w:after="60"/>
            </w:pPr>
            <w:r>
              <w:rPr>
                <w:rFonts w:ascii="Arial" w:hAnsi="Arial"/>
                <w:sz w:val="17"/>
              </w:rPr>
              <w:t>Vagueness: 0.2993  |  Complexity: 0.0890</w:t>
            </w:r>
          </w:p>
        </w:tc>
      </w:tr>
      <w:tr>
        <w:tc>
          <w:tcPr>
            <w:tcW w:type="dxa" w:w="2880"/>
            <w:shd w:val="clear" w:color="auto" w:fill="EBF3FB"/>
          </w:tcPr>
          <w:p>
            <w:pPr>
              <w:spacing w:before="60" w:after="60"/>
            </w:pPr>
            <w:r>
              <w:rPr>
                <w:rFonts w:ascii="Arial" w:hAnsi="Arial"/>
                <w:b/>
                <w:sz w:val="17"/>
              </w:rPr>
              <w:t>Change (latest vs prior)</w:t>
            </w:r>
          </w:p>
        </w:tc>
        <w:tc>
          <w:tcPr>
            <w:tcW w:type="dxa" w:w="7200"/>
          </w:tcPr>
          <w:p>
            <w:pPr>
              <w:spacing w:before="60" w:after="60"/>
            </w:pPr>
            <w:r>
              <w:rPr>
                <w:rFonts w:ascii="Arial" w:hAnsi="Arial"/>
                <w:sz w:val="17"/>
              </w:rPr>
              <w:t>Vagueness: -0.0609  |  Complexity: -0.0272</w:t>
            </w:r>
          </w:p>
        </w:tc>
      </w:tr>
      <w:tr>
        <w:tc>
          <w:tcPr>
            <w:tcW w:type="dxa" w:w="2880"/>
            <w:shd w:val="clear" w:color="auto" w:fill="EBF3FB"/>
          </w:tcPr>
          <w:p>
            <w:pPr>
              <w:spacing w:before="60" w:after="60"/>
            </w:pPr>
            <w:r>
              <w:rPr>
                <w:rFonts w:ascii="Arial" w:hAnsi="Arial"/>
                <w:b/>
                <w:sz w:val="17"/>
              </w:rPr>
              <w:t>Sector Average</w:t>
            </w:r>
          </w:p>
        </w:tc>
        <w:tc>
          <w:tcPr>
            <w:tcW w:type="dxa" w:w="7200"/>
          </w:tcPr>
          <w:p>
            <w:pPr>
              <w:spacing w:before="60" w:after="60"/>
            </w:pPr>
            <w:r>
              <w:rPr>
                <w:rFonts w:ascii="Arial" w:hAnsi="Arial"/>
                <w:sz w:val="17"/>
              </w:rPr>
              <w:t>Vagueness: 0.5066  |  P25: 0.4199  |  P75: 0.5957  (185 companies)</w:t>
            </w:r>
          </w:p>
        </w:tc>
      </w:tr>
      <w:tr>
        <w:tc>
          <w:tcPr>
            <w:tcW w:type="dxa" w:w="2880"/>
            <w:shd w:val="clear" w:color="auto" w:fill="EBF3FB"/>
          </w:tcPr>
          <w:p>
            <w:pPr>
              <w:spacing w:before="60" w:after="60"/>
            </w:pPr>
            <w:r>
              <w:rPr>
                <w:rFonts w:ascii="Arial" w:hAnsi="Arial"/>
                <w:b/>
                <w:sz w:val="17"/>
              </w:rPr>
              <w:t>Model Performance</w:t>
            </w:r>
          </w:p>
        </w:tc>
        <w:tc>
          <w:tcPr>
            <w:tcW w:type="dxa" w:w="7200"/>
          </w:tcPr>
          <w:p>
            <w:pPr>
              <w:spacing w:before="60" w:after="60"/>
            </w:pPr>
            <w:r>
              <w:rPr>
                <w:rFonts w:ascii="Arial" w:hAnsi="Arial"/>
                <w:sz w:val="17"/>
              </w:rPr>
              <w:t>Vagueness F1: 0.876  |  Complexity F1: 0.826</w:t>
            </w:r>
          </w:p>
        </w:tc>
      </w:tr>
    </w:tbl>
    <w:p>
      <w:pPr>
        <w:spacing w:after="80"/>
      </w:pPr>
    </w:p>
    <w:p>
      <w:pPr>
        <w:spacing w:before="280" w:after="80"/>
      </w:pPr>
      <w:r>
        <w:rPr>
          <w:rFonts w:ascii="Arial" w:hAnsi="Arial"/>
          <w:b/>
          <w:color w:val="1F3D6B"/>
          <w:sz w:val="20"/>
        </w:rPr>
        <w:t>1. EXECUTIVE SUMMARY</w:t>
      </w:r>
    </w:p>
    <w:p>
      <w:pPr>
        <w:spacing w:before="80" w:after="80"/>
        <w:pBdr>
          <w:bottom w:val="single" w:sz="8" w:space="1" w:color="2E75B6"/>
        </w:pBdr>
      </w:pPr>
    </w:p>
    <w:p>
      <w:pPr>
        <w:spacing w:after="120" w:before="40"/>
      </w:pPr>
      <w:r>
        <w:rPr>
          <w:rFonts w:ascii="Arial" w:hAnsi="Arial"/>
          <w:i w:val="0"/>
          <w:color w:val="000000"/>
          <w:sz w:val="18"/>
        </w:rPr>
        <w:t>Xylem Inc. (XYL) presents low supply chain disclosure risk based on convergent LOW signals from both the Claude Analysis and FinBERT statistical models. The company's vagueness score sits well below the sector mean (27th percentile vs. 50th), with an improving trend quarter-over-quarter. However, a meaningful disclosure gap exists around supply chain and tariff risk discussion relative to closest industrial peers, which warrants monitoring given XYL's $8B+ annualized global revenue base. Maintain standard review cadence with targeted follow-up on tariff exposure.</w:t>
      </w:r>
    </w:p>
    <w:p>
      <w:pPr>
        <w:spacing w:before="280" w:after="80"/>
      </w:pPr>
      <w:r>
        <w:rPr>
          <w:rFonts w:ascii="Arial" w:hAnsi="Arial"/>
          <w:b/>
          <w:color w:val="1F3D6B"/>
          <w:sz w:val="20"/>
        </w:rPr>
        <w:t>2. DISCLOSURE QUALITY ASSESSMENT</w:t>
      </w:r>
    </w:p>
    <w:p>
      <w:pPr>
        <w:spacing w:before="80" w:after="80"/>
        <w:pBdr>
          <w:bottom w:val="single" w:sz="8" w:space="1" w:color="2E75B6"/>
        </w:pBdr>
      </w:pPr>
    </w:p>
    <w:p>
      <w:pPr>
        <w:spacing w:after="120" w:before="40"/>
      </w:pPr>
      <w:r>
        <w:rPr>
          <w:rFonts w:ascii="Arial" w:hAnsi="Arial"/>
          <w:i w:val="0"/>
          <w:color w:val="000000"/>
          <w:sz w:val="18"/>
        </w:rPr>
        <w:t>XYL's latest 10-Q vagueness score of 0.2384 is 27 percentage points below the industrial sector mean of 0.5066, placing it firmly in the most transparent quartile among 185 tracked companies. The trend is favorable: vagueness declined 6 points sequentially from the prior quarter's 0.2993, and complexity also moderated. Annual 10-K filings run higher (0.56–0.70), consistent with longer-form boilerplate, but the overall trajectory shows no degradation.</w:t>
      </w:r>
    </w:p>
    <w:p>
      <w:pPr>
        <w:spacing w:before="280" w:after="80"/>
      </w:pPr>
      <w:r>
        <w:rPr>
          <w:rFonts w:ascii="Arial" w:hAnsi="Arial"/>
          <w:b/>
          <w:color w:val="1F3D6B"/>
          <w:sz w:val="20"/>
        </w:rPr>
        <w:t>3. KEY FINDINGS &amp; EVIDENCE</w:t>
      </w:r>
    </w:p>
    <w:p>
      <w:pPr>
        <w:spacing w:before="80" w:after="80"/>
        <w:pBdr>
          <w:bottom w:val="single" w:sz="8" w:space="1" w:color="2E75B6"/>
        </w:pBdr>
      </w:pPr>
    </w:p>
    <w:p>
      <w:pPr>
        <w:spacing w:after="120" w:before="40"/>
      </w:pPr>
      <w:r>
        <w:rPr>
          <w:rFonts w:ascii="Arial" w:hAnsi="Arial"/>
          <w:i w:val="0"/>
          <w:color w:val="000000"/>
          <w:sz w:val="18"/>
        </w:rPr>
        <w:t>The most material finding is a conspicuous gap in supply chain and tariff risk disclosure within MD&amp;A. XYL's sole reference to operational disruption — that capital projects involve longer lead times and "delays occur from time to time" (see 10-Q filed 2025-07-31, p.39) — is strikingly generic compared to closest peer IDEX Corporation, which explicitly discusses pricing actions, cost reductions, and supply chain strategies to mitigate tariff impacts . For a global water technology company with significant emerging-market exposure and a 380 basis point margin decline in its Measurement and Control Solutions segment, this silence is notable even if not indicative of obfuscation.</w:t>
      </w:r>
    </w:p>
    <w:p>
      <w:pPr>
        <w:spacing w:after="120" w:before="40"/>
      </w:pPr>
      <w:r>
        <w:rPr>
          <w:rFonts w:ascii="Arial" w:hAnsi="Arial"/>
          <w:i w:val="0"/>
          <w:color w:val="000000"/>
          <w:sz w:val="18"/>
        </w:rPr>
        <w:t>A secondary concern involves a new sustainability materiality disclaimer added in the Q2 2025 filing, stating that environmental and sustainability plans "are not an indication that these statements are necessarily material to investors" (see 10-Q filed 2025-07-31, p.33). While increasingly common across industrials, this language may signal a retreat from prior ESG commitments or quantitative environmental targets. Separately, the potential removal of the $60–$70M full-year restructuring cost guidance between Q1 and Q2 filings should be verified, though the prior-period passage could not be conclusively matched to the restructuring disclosure in question.</w:t>
      </w:r>
    </w:p>
    <w:p>
      <w:pPr>
        <w:spacing w:before="280" w:after="80"/>
      </w:pPr>
      <w:r>
        <w:rPr>
          <w:rFonts w:ascii="Arial" w:hAnsi="Arial"/>
          <w:b/>
          <w:color w:val="1F3D6B"/>
          <w:sz w:val="20"/>
        </w:rPr>
        <w:t>4. PEER COMPARISON</w:t>
      </w:r>
    </w:p>
    <w:p>
      <w:pPr>
        <w:spacing w:before="80" w:after="80"/>
        <w:pBdr>
          <w:bottom w:val="single" w:sz="8" w:space="1" w:color="2E75B6"/>
        </w:pBdr>
      </w:pPr>
    </w:p>
    <w:p>
      <w:pPr>
        <w:spacing w:after="120" w:before="40"/>
      </w:pPr>
      <w:r>
        <w:rPr>
          <w:rFonts w:ascii="Arial" w:hAnsi="Arial"/>
          <w:i w:val="0"/>
          <w:color w:val="000000"/>
          <w:sz w:val="18"/>
        </w:rPr>
        <w:t>Against closest peers IDEX (IEX) and Flowserve (FLS), XYL's quantitative disclosure quality is strong — its FinBERT vagueness score materially outperforms the sector. However, qualitative supply chain risk discussion lags both peers meaningfully. Peer selection is reasonable given SIC-based industrial overlap, though XYL's water-infrastructure focus introduces some comparability limitations versus pump and flow-control peers.</w:t>
      </w:r>
    </w:p>
    <w:p>
      <w:pPr>
        <w:spacing w:before="280" w:after="80"/>
      </w:pPr>
      <w:r>
        <w:rPr>
          <w:rFonts w:ascii="Arial" w:hAnsi="Arial"/>
          <w:b/>
          <w:color w:val="1F3D6B"/>
          <w:sz w:val="20"/>
        </w:rPr>
        <w:t>5. RECOMMENDED ANALYST ACTIONS</w:t>
      </w:r>
    </w:p>
    <w:p>
      <w:pPr>
        <w:spacing w:before="80" w:after="80"/>
        <w:pBdr>
          <w:bottom w:val="single" w:sz="8" w:space="1" w:color="2E75B6"/>
        </w:pBdr>
      </w:pPr>
    </w:p>
    <w:p>
      <w:pPr>
        <w:spacing w:after="120" w:before="40"/>
      </w:pPr>
      <w:r>
        <w:rPr>
          <w:rFonts w:ascii="Arial" w:hAnsi="Arial"/>
          <w:i w:val="0"/>
          <w:color w:val="000000"/>
          <w:sz w:val="18"/>
        </w:rPr>
        <w:t>First, review XYL's most recent 10-K Risk Factors section and Q2 2025 earnings call transcript to determine whether tariff exposure and supply chain mitigation strategies are disclosed outside MD&amp;A, which would reduce concern about the filing gap. Second, assess whether the $60–$70M restructuring cost guidance was formally updated or silently dropped by comparing the Q1 and Q2 10-Q filings side by side. Third, track whether the sustainability disclaimer language expands in subsequent filings, potentially signaling broader ESG reporting retrenchment.</w:t>
      </w:r>
    </w:p>
    <w:p>
      <w:pPr>
        <w:spacing w:before="80" w:after="80"/>
        <w:pBdr>
          <w:bottom w:val="single" w:sz="4" w:space="1" w:color="CCCCCC"/>
        </w:pBdr>
      </w:pPr>
    </w:p>
    <w:tbl>
      <w:tblPr>
        <w:tblStyle w:val="TableGrid"/>
        <w:tblW w:type="auto" w:w="0"/>
        <w:jc w:val="left"/>
        <w:tblLook w:firstColumn="1" w:firstRow="1" w:lastColumn="0" w:lastRow="0" w:noHBand="0" w:noVBand="1" w:val="04A0"/>
      </w:tblPr>
      <w:tblGrid>
        <w:gridCol w:w="4680"/>
        <w:gridCol w:w="4680"/>
      </w:tblGrid>
      <w:tr>
        <w:tc>
          <w:tcPr>
            <w:tcW w:type="dxa" w:w="2880"/>
            <w:shd w:val="clear" w:color="auto" w:fill="EBF3FB"/>
          </w:tcPr>
          <w:p>
            <w:pPr>
              <w:spacing w:before="60" w:after="60"/>
            </w:pPr>
            <w:r>
              <w:rPr>
                <w:rFonts w:ascii="Arial" w:hAnsi="Arial"/>
                <w:b/>
                <w:sz w:val="17"/>
              </w:rPr>
              <w:t>FinBERT classifiers</w:t>
            </w:r>
          </w:p>
        </w:tc>
        <w:tc>
          <w:tcPr>
            <w:tcW w:type="dxa" w:w="7200"/>
          </w:tcPr>
          <w:p>
            <w:pPr>
              <w:spacing w:before="60" w:after="60"/>
            </w:pPr>
            <w:r>
              <w:rPr>
                <w:rFonts w:ascii="Arial" w:hAnsi="Arial"/>
                <w:sz w:val="17"/>
              </w:rPr>
              <w:t>Vagueness (F1 0.876) + Complexity (F1 0.826)</w:t>
            </w:r>
          </w:p>
        </w:tc>
      </w:tr>
      <w:tr>
        <w:tc>
          <w:tcPr>
            <w:tcW w:type="dxa" w:w="2880"/>
            <w:shd w:val="clear" w:color="auto" w:fill="EBF3FB"/>
          </w:tcPr>
          <w:p>
            <w:pPr>
              <w:spacing w:before="60" w:after="60"/>
            </w:pPr>
            <w:r>
              <w:rPr>
                <w:rFonts w:ascii="Arial" w:hAnsi="Arial"/>
                <w:b/>
                <w:sz w:val="17"/>
              </w:rPr>
              <w:t>Screening</w:t>
            </w:r>
          </w:p>
        </w:tc>
        <w:tc>
          <w:tcPr>
            <w:tcW w:type="dxa" w:w="7200"/>
          </w:tcPr>
          <w:p>
            <w:pPr>
              <w:spacing w:before="60" w:after="60"/>
            </w:pPr>
            <w:r>
              <w:rPr>
                <w:rFonts w:ascii="Arial" w:hAnsi="Arial"/>
                <w:sz w:val="17"/>
              </w:rPr>
              <w:t>GPT-4o-mini | Deep analysis: Claude Opus 4.6</w:t>
            </w:r>
          </w:p>
        </w:tc>
      </w:tr>
      <w:tr>
        <w:tc>
          <w:tcPr>
            <w:tcW w:type="dxa" w:w="2880"/>
            <w:shd w:val="clear" w:color="auto" w:fill="EBF3FB"/>
          </w:tcPr>
          <w:p>
            <w:pPr>
              <w:spacing w:before="60" w:after="60"/>
            </w:pPr>
            <w:r>
              <w:rPr>
                <w:rFonts w:ascii="Arial" w:hAnsi="Arial"/>
                <w:b/>
                <w:sz w:val="17"/>
              </w:rPr>
              <w:t>Data source</w:t>
            </w:r>
          </w:p>
        </w:tc>
        <w:tc>
          <w:tcPr>
            <w:tcW w:type="dxa" w:w="7200"/>
          </w:tcPr>
          <w:p>
            <w:pPr>
              <w:spacing w:before="60" w:after="60"/>
            </w:pPr>
            <w:r>
              <w:rPr>
                <w:rFonts w:ascii="Arial" w:hAnsi="Arial"/>
                <w:sz w:val="17"/>
              </w:rPr>
              <w:t>SEC EDGAR (10-K, 10-Q) | Graph: Neo4j</w:t>
            </w:r>
          </w:p>
        </w:tc>
      </w:tr>
    </w:tbl>
    <w:p>
      <w:pPr>
        <w:spacing w:after="80"/>
      </w:pPr>
    </w:p>
    <w:p>
      <w:pPr>
        <w:spacing w:before="80"/>
      </w:pPr>
      <w:r>
        <w:rPr>
          <w:rFonts w:ascii="Arial" w:hAnsi="Arial"/>
          <w:i/>
          <w:color w:val="606060"/>
          <w:sz w:val="14"/>
        </w:rPr>
        <w:t>IMPORTANT NOTICE: This is an automated screening output from the Disclosure Degradation Detection System (DDDS). It does not constitute investment advice. All findings are probabilistic signals requiring independent verification. Consistent with CFA Institute Standard V(A) — Diligence and Reasonable Basis.</w:t>
      </w:r>
    </w:p>
    <w:p>
      <w:r>
        <w:rPr>
          <w:rFonts w:ascii="Arial" w:hAnsi="Arial"/>
          <w:color w:val="606060"/>
          <w:sz w:val="14"/>
        </w:rPr>
        <w:t>Generated: 09 April 2026 16:16  |  DDDS v1.0 — The Transparency Project</w:t>
      </w:r>
    </w:p>
    <w:sectPr w:rsidR="00FC693F" w:rsidRPr="0006063C" w:rsidSect="00034616">
      <w:pgSz w:w="12240" w:h="15840"/>
      <w:pgMar w:top="1080" w:right="1440" w:bottom="108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