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D6B"/>
          <w:sz w:val="32"/>
        </w:rPr>
        <w:t>DDDS — Disclosure Degradation Detection System</w:t>
      </w:r>
    </w:p>
    <w:p>
      <w:pPr>
        <w:spacing w:before="0" w:after="40"/>
        <w:jc w:val="center"/>
      </w:pPr>
      <w:r>
        <w:rPr>
          <w:rFonts w:ascii="Calibri" w:hAnsi="Calibri"/>
          <w:b w:val="0"/>
          <w:i/>
          <w:color w:val="2E75B6"/>
          <w:sz w:val="21"/>
        </w:rPr>
        <w:t>Technical Summary  |  The Transparency Project</w:t>
      </w:r>
    </w:p>
    <w:p>
      <w:pPr>
        <w:spacing w:before="0" w:after="200"/>
        <w:jc w:val="center"/>
      </w:pPr>
      <w:r>
        <w:rPr>
          <w:rFonts w:ascii="Calibri" w:hAnsi="Calibri"/>
          <w:b w:val="0"/>
          <w:i w:val="0"/>
          <w:color w:val="606060"/>
          <w:sz w:val="19"/>
        </w:rPr>
        <w:t>Lancaster University  |  CFA AI Investment Challenge 2026</w:t>
      </w:r>
    </w:p>
    <w:p>
      <w:pPr>
        <w:spacing w:before="40" w:after="40"/>
        <w:pBdr>
          <w:bottom w:val="single" w:sz="4" w:space="1" w:color="2E75B6"/>
        </w:pBdr>
      </w:pPr>
    </w:p>
    <w:p>
      <w:pPr>
        <w:spacing w:before="240" w:after="80"/>
      </w:pPr>
      <w:r>
        <w:rPr>
          <w:rFonts w:ascii="Calibri" w:hAnsi="Calibri"/>
          <w:b/>
          <w:i w:val="0"/>
          <w:color w:val="1F3D6B"/>
          <w:sz w:val="26"/>
        </w:rPr>
        <w:t>Executive Summary</w:t>
      </w:r>
    </w:p>
    <w:p>
      <w:pPr>
        <w:spacing w:before="0" w:after="120"/>
      </w:pPr>
      <w:r>
        <w:rPr>
          <w:rFonts w:ascii="Calibri" w:hAnsi="Calibri"/>
          <w:b w:val="0"/>
          <w:i w:val="0"/>
          <w:color w:val="000000"/>
          <w:sz w:val="20"/>
        </w:rPr>
        <w:t>Every quarter, public companies publish tens of thousands of pages of regulatory disclosures. Hidden within these filings is a consistent and exploitable pattern: before a company's financial condition deteriorates, its disclosures quietly degrade — specific metrics are replaced with vague language, commitments are dropped, and new risks appear buried in boilerplate. DDDS is a fully automated system built to detect this pattern at scale, across an entire sector, before it appears in the financials.</w:t>
      </w:r>
    </w:p>
    <w:p>
      <w:pPr>
        <w:pStyle w:val="ListBullet"/>
        <w:spacing w:before="40" w:after="40"/>
        <w:ind w:left="432"/>
      </w:pPr>
      <w:r>
        <w:rPr>
          <w:rFonts w:ascii="Calibri" w:hAnsi="Calibri"/>
          <w:b/>
          <w:i w:val="0"/>
          <w:color w:val="1F3D6B"/>
          <w:sz w:val="20"/>
        </w:rPr>
        <w:t xml:space="preserve">The Problem. </w:t>
      </w:r>
      <w:r>
        <w:rPr>
          <w:rFonts w:ascii="Calibri" w:hAnsi="Calibri"/>
          <w:b w:val="0"/>
          <w:i w:val="0"/>
          <w:color w:val="000000"/>
          <w:sz w:val="20"/>
        </w:rPr>
        <w:t>Corporate disclosure quality degrades measurably in the quarters preceding earnings shortfalls and credit events. Traditional analyst workflows cannot monitor this signal systematically across hundreds of companies and filing periods simultaneously.</w:t>
      </w:r>
    </w:p>
    <w:p>
      <w:pPr>
        <w:pStyle w:val="ListBullet"/>
        <w:spacing w:before="40" w:after="40"/>
        <w:ind w:left="432"/>
      </w:pPr>
      <w:r>
        <w:rPr>
          <w:rFonts w:ascii="Calibri" w:hAnsi="Calibri"/>
          <w:b/>
          <w:i w:val="0"/>
          <w:color w:val="1F3D6B"/>
          <w:sz w:val="20"/>
        </w:rPr>
        <w:t xml:space="preserve">The Solution. </w:t>
      </w:r>
      <w:r>
        <w:rPr>
          <w:rFonts w:ascii="Calibri" w:hAnsi="Calibri"/>
          <w:b w:val="0"/>
          <w:i w:val="0"/>
          <w:color w:val="000000"/>
          <w:sz w:val="20"/>
        </w:rPr>
        <w:t>DDDS ingests all 10-K and 10-Q filings for 266 US Industrial companies (SIC 3400–3599) from SEC EDGAR, classifies every risk-factor sentence by topic, scores each sentence for vagueness and linguistic complexity using fine-tuned FinBERT models, and loads the results into a Neo4j knowledge graph — enabling temporal, peer-relative, and cross-document analysis at a scale no individual analyst could replicate.</w:t>
      </w:r>
    </w:p>
    <w:p>
      <w:pPr>
        <w:pStyle w:val="ListBullet"/>
        <w:spacing w:before="40" w:after="40"/>
        <w:ind w:left="432"/>
      </w:pPr>
      <w:r>
        <w:rPr>
          <w:rFonts w:ascii="Calibri" w:hAnsi="Calibri"/>
          <w:b/>
          <w:i w:val="0"/>
          <w:color w:val="1F3D6B"/>
          <w:sz w:val="20"/>
        </w:rPr>
        <w:t xml:space="preserve">The Results. </w:t>
      </w:r>
      <w:r>
        <w:rPr>
          <w:rFonts w:ascii="Calibri" w:hAnsi="Calibri"/>
          <w:b w:val="0"/>
          <w:i w:val="0"/>
          <w:color w:val="000000"/>
          <w:sz w:val="20"/>
        </w:rPr>
        <w:t>The fine-tuned FinBERT vagueness classifier achieved an F1 Macro score of 0.876, and the complexity classifier achieved 0.826 — both trained on human-labelled SEC disclosure passages. The two-tier LLM analysis layer (GPT-4o-mini screening followed by Claude Opus deep analysis) produces structured, evidence-grounded investment signals with direct citation to source text, and generates formatted two-page investment memos meeting CFA Standard V(A) auditability requirements.</w:t>
      </w:r>
    </w:p>
    <w:p>
      <w:pPr>
        <w:pStyle w:val="ListBullet"/>
        <w:spacing w:before="40" w:after="40"/>
        <w:ind w:left="432"/>
      </w:pPr>
      <w:r>
        <w:rPr>
          <w:rFonts w:ascii="Calibri" w:hAnsi="Calibri"/>
          <w:b/>
          <w:i w:val="0"/>
          <w:color w:val="1F3D6B"/>
          <w:sz w:val="20"/>
        </w:rPr>
        <w:t xml:space="preserve">The Impact. </w:t>
      </w:r>
      <w:r>
        <w:rPr>
          <w:rFonts w:ascii="Calibri" w:hAnsi="Calibri"/>
          <w:b w:val="0"/>
          <w:i w:val="0"/>
          <w:color w:val="000000"/>
          <w:sz w:val="20"/>
        </w:rPr>
        <w:t>An analyst using DDDS can query the system for any company in the covered universe and receive an automatically generated memo identifying specific language deterioration, peer-relative vagueness anomalies, and management-disclosure contradictions — turning a multi-day manual review process into a minutes-long automated one. The system is validated against a Li (2008)-methodology backtesting framework testing whether flagged companies show lower earnings persistence in the subsequent period.</w:t>
      </w:r>
    </w:p>
    <w:p>
      <w:pPr>
        <w:spacing w:before="40" w:after="40"/>
        <w:pBdr>
          <w:bottom w:val="single" w:sz="4" w:space="1" w:color="2E75B6"/>
        </w:pBdr>
      </w:pPr>
    </w:p>
    <w:p>
      <w:pPr>
        <w:spacing w:before="240" w:after="80"/>
      </w:pPr>
      <w:r>
        <w:rPr>
          <w:rFonts w:ascii="Calibri" w:hAnsi="Calibri"/>
          <w:b/>
          <w:i w:val="0"/>
          <w:color w:val="1F3D6B"/>
          <w:sz w:val="26"/>
        </w:rPr>
        <w:t>1.  Architectural Design</w:t>
      </w:r>
    </w:p>
    <w:p>
      <w:pPr>
        <w:spacing w:before="0" w:after="80"/>
      </w:pPr>
      <w:r>
        <w:rPr>
          <w:rFonts w:ascii="Calibri" w:hAnsi="Calibri"/>
          <w:b w:val="0"/>
          <w:i w:val="0"/>
          <w:color w:val="000000"/>
          <w:sz w:val="20"/>
        </w:rPr>
        <w:t>DDDS is structured as an eleven-stage sequential pipeline with three distinct layers: a data ingestion layer, a machine learning scoring layer, and a graph-augmented LLM analysis layer. Each stage produces a persistent artefact consumed by the next, allowing any stage to be re-run independently without reprocessing upstream steps.</w:t>
      </w:r>
    </w:p>
    <w:p>
      <w:pPr>
        <w:spacing w:before="240" w:after="80"/>
      </w:pPr>
      <w:r>
        <w:rPr>
          <w:rFonts w:ascii="Calibri" w:hAnsi="Calibri"/>
          <w:b/>
          <w:i w:val="0"/>
          <w:color w:val="2E75B6"/>
          <w:sz w:val="22"/>
        </w:rPr>
        <w:t>1.1  Three-Layer Architecture</w:t>
      </w:r>
    </w:p>
    <w:tbl>
      <w:tblPr>
        <w:tblStyle w:val="TableGrid"/>
        <w:tblW w:type="auto" w:w="0"/>
        <w:tblLook w:firstColumn="1" w:firstRow="1" w:lastColumn="0" w:lastRow="0" w:noHBand="0" w:noVBand="1" w:val="04A0"/>
      </w:tblPr>
      <w:tblGrid>
        <w:gridCol w:w="4703"/>
        <w:gridCol w:w="4703"/>
      </w:tblGrid>
      <w:tr>
        <w:tc>
          <w:tcPr>
            <w:tcW w:type="dxa" w:w="2160"/>
          </w:tcPr>
          <w:p/>
        </w:tc>
        <w:tc>
          <w:tcPr>
            <w:tcW w:type="dxa" w:w="6480"/>
          </w:tcPr>
          <w:p/>
        </w:tc>
      </w:tr>
      <w:tr>
        <w:tc>
          <w:tcPr>
            <w:tcW w:type="dxa" w:w="2160"/>
            <w:shd w:val="clear" w:color="auto" w:fill="D6E4F0"/>
          </w:tcPr>
          <w:p>
            <w:r>
              <w:rPr>
                <w:rFonts w:ascii="Calibri" w:hAnsi="Calibri"/>
                <w:b/>
                <w:i w:val="0"/>
                <w:color w:val="1F3D6B"/>
                <w:sz w:val="19"/>
              </w:rPr>
              <w:t>Layer</w:t>
            </w:r>
          </w:p>
        </w:tc>
        <w:tc>
          <w:tcPr>
            <w:tcW w:type="dxa" w:w="6480"/>
            <w:shd w:val="clear" w:color="auto" w:fill="D6E4F0"/>
          </w:tcPr>
          <w:p>
            <w:r>
              <w:rPr>
                <w:rFonts w:ascii="Calibri" w:hAnsi="Calibri"/>
                <w:b/>
                <w:i w:val="0"/>
                <w:color w:val="1F3D6B"/>
                <w:sz w:val="19"/>
              </w:rPr>
              <w:t>Components</w:t>
            </w:r>
          </w:p>
        </w:tc>
      </w:tr>
      <w:tr>
        <w:tc>
          <w:tcPr>
            <w:tcW w:type="dxa" w:w="2160"/>
          </w:tcPr>
          <w:p>
            <w:r>
              <w:rPr>
                <w:rFonts w:ascii="Calibri" w:hAnsi="Calibri"/>
                <w:b w:val="0"/>
                <w:i w:val="0"/>
                <w:color w:val="000000"/>
                <w:sz w:val="19"/>
              </w:rPr>
              <w:t>Data Ingestion</w:t>
            </w:r>
          </w:p>
        </w:tc>
        <w:tc>
          <w:tcPr>
            <w:tcW w:type="dxa" w:w="6480"/>
          </w:tcPr>
          <w:p>
            <w:r>
              <w:rPr>
                <w:rFonts w:ascii="Calibri" w:hAnsi="Calibri"/>
                <w:b w:val="0"/>
                <w:i w:val="0"/>
                <w:color w:val="000000"/>
                <w:sz w:val="19"/>
              </w:rPr>
              <w:t>SEC EDGAR API collector · HTML/text parser · amendment filter · sentences CSV</w:t>
            </w:r>
          </w:p>
        </w:tc>
      </w:tr>
      <w:tr>
        <w:tc>
          <w:tcPr>
            <w:tcW w:type="dxa" w:w="2160"/>
          </w:tcPr>
          <w:p>
            <w:r>
              <w:rPr>
                <w:rFonts w:ascii="Calibri" w:hAnsi="Calibri"/>
                <w:b w:val="0"/>
                <w:i w:val="0"/>
                <w:color w:val="000000"/>
                <w:sz w:val="19"/>
              </w:rPr>
              <w:t>ML Scoring</w:t>
            </w:r>
          </w:p>
        </w:tc>
        <w:tc>
          <w:tcPr>
            <w:tcW w:type="dxa" w:w="6480"/>
          </w:tcPr>
          <w:p>
            <w:r>
              <w:rPr>
                <w:rFonts w:ascii="Calibri" w:hAnsi="Calibri"/>
                <w:b w:val="0"/>
                <w:i w:val="0"/>
                <w:color w:val="000000"/>
                <w:sz w:val="19"/>
              </w:rPr>
              <w:t>GPT-4o-mini topic classifier (12 categories) · FinBERT vagueness model · FinBERT complexity model</w:t>
            </w:r>
          </w:p>
        </w:tc>
      </w:tr>
      <w:tr>
        <w:tc>
          <w:tcPr>
            <w:tcW w:type="dxa" w:w="2160"/>
          </w:tcPr>
          <w:p>
            <w:r>
              <w:rPr>
                <w:rFonts w:ascii="Calibri" w:hAnsi="Calibri"/>
                <w:b w:val="0"/>
                <w:i w:val="0"/>
                <w:color w:val="000000"/>
                <w:sz w:val="19"/>
              </w:rPr>
              <w:t>Graph-RAG Analysis</w:t>
            </w:r>
          </w:p>
        </w:tc>
        <w:tc>
          <w:tcPr>
            <w:tcW w:type="dxa" w:w="6480"/>
          </w:tcPr>
          <w:p>
            <w:r>
              <w:rPr>
                <w:rFonts w:ascii="Calibri" w:hAnsi="Calibri"/>
                <w:b w:val="0"/>
                <w:i w:val="0"/>
                <w:color w:val="000000"/>
                <w:sz w:val="19"/>
              </w:rPr>
              <w:t>Neo4j knowledge graph · GPT-4o-mini screener · Claude Opus analyst · memo generator · heat map · backtester</w:t>
            </w:r>
          </w:p>
        </w:tc>
      </w:tr>
    </w:tbl>
    <w:p>
      <w:pPr>
        <w:spacing w:after="80"/>
      </w:pPr>
    </w:p>
    <w:p>
      <w:pPr>
        <w:spacing w:before="240" w:after="80"/>
      </w:pPr>
      <w:r>
        <w:rPr>
          <w:rFonts w:ascii="Calibri" w:hAnsi="Calibri"/>
          <w:b/>
          <w:i w:val="0"/>
          <w:color w:val="2E75B6"/>
          <w:sz w:val="22"/>
        </w:rPr>
        <w:t>1.2  Knowledge Graph Schema</w:t>
      </w:r>
    </w:p>
    <w:p>
      <w:pPr>
        <w:spacing w:before="0" w:after="80"/>
      </w:pPr>
      <w:r>
        <w:rPr>
          <w:rFonts w:ascii="Calibri" w:hAnsi="Calibri"/>
          <w:b w:val="0"/>
          <w:i w:val="0"/>
          <w:color w:val="000000"/>
          <w:sz w:val="20"/>
        </w:rPr>
        <w:t>The central data structure is a Neo4j property graph. Three node types are defined: Company (identifier, name, sector), Filing (filing_id, filing_type, period), and RiskFactor (sentence text, topic label, vague_label, vague_prob, complex_label, complex_prob). Five edge types encode structural and analytical relationships:</w:t>
      </w:r>
    </w:p>
    <w:tbl>
      <w:tblPr>
        <w:tblStyle w:val="TableGrid"/>
        <w:tblW w:type="auto" w:w="0"/>
        <w:tblLook w:firstColumn="1" w:firstRow="1" w:lastColumn="0" w:lastRow="0" w:noHBand="0" w:noVBand="1" w:val="04A0"/>
      </w:tblPr>
      <w:tblGrid>
        <w:gridCol w:w="3135"/>
        <w:gridCol w:w="3135"/>
        <w:gridCol w:w="3135"/>
      </w:tblGrid>
      <w:tr>
        <w:tc>
          <w:tcPr>
            <w:tcW w:type="dxa" w:w="2016"/>
          </w:tcPr>
          <w:p/>
        </w:tc>
        <w:tc>
          <w:tcPr>
            <w:tcW w:type="dxa" w:w="2592"/>
          </w:tcPr>
          <w:p/>
        </w:tc>
        <w:tc>
          <w:tcPr>
            <w:tcW w:type="dxa" w:w="4032"/>
          </w:tcPr>
          <w:p/>
        </w:tc>
      </w:tr>
      <w:tr>
        <w:tc>
          <w:tcPr>
            <w:tcW w:type="dxa" w:w="2016"/>
            <w:shd w:val="clear" w:color="auto" w:fill="D6E4F0"/>
          </w:tcPr>
          <w:p>
            <w:r>
              <w:rPr>
                <w:rFonts w:ascii="Calibri" w:hAnsi="Calibri"/>
                <w:b/>
                <w:i w:val="0"/>
                <w:color w:val="1F3D6B"/>
                <w:sz w:val="19"/>
              </w:rPr>
              <w:t>Edge</w:t>
            </w:r>
          </w:p>
        </w:tc>
        <w:tc>
          <w:tcPr>
            <w:tcW w:type="dxa" w:w="2592"/>
            <w:shd w:val="clear" w:color="auto" w:fill="D6E4F0"/>
          </w:tcPr>
          <w:p>
            <w:r>
              <w:rPr>
                <w:rFonts w:ascii="Calibri" w:hAnsi="Calibri"/>
                <w:b/>
                <w:i w:val="0"/>
                <w:color w:val="1F3D6B"/>
                <w:sz w:val="19"/>
              </w:rPr>
              <w:t>Connects</w:t>
            </w:r>
          </w:p>
        </w:tc>
        <w:tc>
          <w:tcPr>
            <w:tcW w:type="dxa" w:w="4032"/>
            <w:shd w:val="clear" w:color="auto" w:fill="D6E4F0"/>
          </w:tcPr>
          <w:p>
            <w:r>
              <w:rPr>
                <w:rFonts w:ascii="Calibri" w:hAnsi="Calibri"/>
                <w:b/>
                <w:i w:val="0"/>
                <w:color w:val="1F3D6B"/>
                <w:sz w:val="19"/>
              </w:rPr>
              <w:t>Purpose</w:t>
            </w:r>
          </w:p>
        </w:tc>
      </w:tr>
      <w:tr>
        <w:tc>
          <w:tcPr>
            <w:tcW w:type="dxa" w:w="2016"/>
          </w:tcPr>
          <w:p>
            <w:r>
              <w:rPr>
                <w:rFonts w:ascii="Calibri" w:hAnsi="Calibri"/>
                <w:b w:val="0"/>
                <w:i w:val="0"/>
                <w:sz w:val="19"/>
              </w:rPr>
              <w:t>HAS_FILING</w:t>
            </w:r>
          </w:p>
        </w:tc>
        <w:tc>
          <w:tcPr>
            <w:tcW w:type="dxa" w:w="2592"/>
          </w:tcPr>
          <w:p>
            <w:r>
              <w:rPr>
                <w:rFonts w:ascii="Calibri" w:hAnsi="Calibri"/>
                <w:b w:val="0"/>
                <w:i w:val="0"/>
                <w:sz w:val="19"/>
              </w:rPr>
              <w:t>Company → Filing</w:t>
            </w:r>
          </w:p>
        </w:tc>
        <w:tc>
          <w:tcPr>
            <w:tcW w:type="dxa" w:w="4032"/>
          </w:tcPr>
          <w:p>
            <w:r>
              <w:rPr>
                <w:rFonts w:ascii="Calibri" w:hAnsi="Calibri"/>
                <w:b w:val="0"/>
                <w:i w:val="0"/>
                <w:sz w:val="19"/>
              </w:rPr>
              <w:t>Ownership</w:t>
            </w:r>
          </w:p>
        </w:tc>
      </w:tr>
      <w:tr>
        <w:tc>
          <w:tcPr>
            <w:tcW w:type="dxa" w:w="2016"/>
          </w:tcPr>
          <w:p>
            <w:r>
              <w:rPr>
                <w:rFonts w:ascii="Calibri" w:hAnsi="Calibri"/>
                <w:b w:val="0"/>
                <w:i w:val="0"/>
                <w:sz w:val="19"/>
              </w:rPr>
              <w:t>HAS_RISK_FACTOR</w:t>
            </w:r>
          </w:p>
        </w:tc>
        <w:tc>
          <w:tcPr>
            <w:tcW w:type="dxa" w:w="2592"/>
          </w:tcPr>
          <w:p>
            <w:r>
              <w:rPr>
                <w:rFonts w:ascii="Calibri" w:hAnsi="Calibri"/>
                <w:b w:val="0"/>
                <w:i w:val="0"/>
                <w:sz w:val="19"/>
              </w:rPr>
              <w:t>Filing → RiskFactor</w:t>
            </w:r>
          </w:p>
        </w:tc>
        <w:tc>
          <w:tcPr>
            <w:tcW w:type="dxa" w:w="4032"/>
          </w:tcPr>
          <w:p>
            <w:r>
              <w:rPr>
                <w:rFonts w:ascii="Calibri" w:hAnsi="Calibri"/>
                <w:b w:val="0"/>
                <w:i w:val="0"/>
                <w:sz w:val="19"/>
              </w:rPr>
              <w:t>Containment</w:t>
            </w:r>
          </w:p>
        </w:tc>
      </w:tr>
      <w:tr>
        <w:tc>
          <w:tcPr>
            <w:tcW w:type="dxa" w:w="2016"/>
          </w:tcPr>
          <w:p>
            <w:r>
              <w:rPr>
                <w:rFonts w:ascii="Calibri" w:hAnsi="Calibri"/>
                <w:b w:val="0"/>
                <w:i w:val="0"/>
                <w:sz w:val="19"/>
              </w:rPr>
              <w:t>NEXT_PERIOD</w:t>
            </w:r>
          </w:p>
        </w:tc>
        <w:tc>
          <w:tcPr>
            <w:tcW w:type="dxa" w:w="2592"/>
          </w:tcPr>
          <w:p>
            <w:r>
              <w:rPr>
                <w:rFonts w:ascii="Calibri" w:hAnsi="Calibri"/>
                <w:b w:val="0"/>
                <w:i w:val="0"/>
                <w:sz w:val="19"/>
              </w:rPr>
              <w:t>Filing → Filing</w:t>
            </w:r>
          </w:p>
        </w:tc>
        <w:tc>
          <w:tcPr>
            <w:tcW w:type="dxa" w:w="4032"/>
          </w:tcPr>
          <w:p>
            <w:r>
              <w:rPr>
                <w:rFonts w:ascii="Calibri" w:hAnsi="Calibri"/>
                <w:b w:val="0"/>
                <w:i w:val="0"/>
                <w:sz w:val="19"/>
              </w:rPr>
              <w:t>Temporal succession (same company)</w:t>
            </w:r>
          </w:p>
        </w:tc>
      </w:tr>
      <w:tr>
        <w:tc>
          <w:tcPr>
            <w:tcW w:type="dxa" w:w="2016"/>
          </w:tcPr>
          <w:p>
            <w:r>
              <w:rPr>
                <w:rFonts w:ascii="Calibri" w:hAnsi="Calibri"/>
                <w:b w:val="0"/>
                <w:i w:val="0"/>
                <w:sz w:val="19"/>
              </w:rPr>
              <w:t>PEER_OF</w:t>
            </w:r>
          </w:p>
        </w:tc>
        <w:tc>
          <w:tcPr>
            <w:tcW w:type="dxa" w:w="2592"/>
          </w:tcPr>
          <w:p>
            <w:r>
              <w:rPr>
                <w:rFonts w:ascii="Calibri" w:hAnsi="Calibri"/>
                <w:b w:val="0"/>
                <w:i w:val="0"/>
                <w:sz w:val="19"/>
              </w:rPr>
              <w:t>Company ↔ Company</w:t>
            </w:r>
          </w:p>
        </w:tc>
        <w:tc>
          <w:tcPr>
            <w:tcW w:type="dxa" w:w="4032"/>
          </w:tcPr>
          <w:p>
            <w:r>
              <w:rPr>
                <w:rFonts w:ascii="Calibri" w:hAnsi="Calibri"/>
                <w:b w:val="0"/>
                <w:i w:val="0"/>
                <w:sz w:val="19"/>
              </w:rPr>
              <w:t>Same SIC sector peer group</w:t>
            </w:r>
          </w:p>
        </w:tc>
      </w:tr>
      <w:tr>
        <w:tc>
          <w:tcPr>
            <w:tcW w:type="dxa" w:w="2016"/>
          </w:tcPr>
          <w:p>
            <w:r>
              <w:rPr>
                <w:rFonts w:ascii="Calibri" w:hAnsi="Calibri"/>
                <w:b w:val="0"/>
                <w:i w:val="0"/>
                <w:sz w:val="19"/>
              </w:rPr>
              <w:t>SHARES_TOPIC</w:t>
            </w:r>
          </w:p>
        </w:tc>
        <w:tc>
          <w:tcPr>
            <w:tcW w:type="dxa" w:w="2592"/>
          </w:tcPr>
          <w:p>
            <w:r>
              <w:rPr>
                <w:rFonts w:ascii="Calibri" w:hAnsi="Calibri"/>
                <w:b w:val="0"/>
                <w:i w:val="0"/>
                <w:sz w:val="19"/>
              </w:rPr>
              <w:t>RiskFactor ↔ RiskFactor</w:t>
            </w:r>
          </w:p>
        </w:tc>
        <w:tc>
          <w:tcPr>
            <w:tcW w:type="dxa" w:w="4032"/>
          </w:tcPr>
          <w:p>
            <w:r>
              <w:rPr>
                <w:rFonts w:ascii="Calibri" w:hAnsi="Calibri"/>
                <w:b w:val="0"/>
                <w:i w:val="0"/>
                <w:sz w:val="19"/>
              </w:rPr>
              <w:t>Same topic, same period, different company</w:t>
            </w:r>
          </w:p>
        </w:tc>
      </w:tr>
    </w:tbl>
    <w:p>
      <w:pPr>
        <w:spacing w:after="80"/>
      </w:pPr>
    </w:p>
    <w:p>
      <w:pPr>
        <w:spacing w:before="40" w:after="40"/>
        <w:pBdr>
          <w:bottom w:val="single" w:sz="4" w:space="1" w:color="2E75B6"/>
        </w:pBdr>
      </w:pPr>
    </w:p>
    <w:p>
      <w:pPr>
        <w:spacing w:before="240" w:after="80"/>
      </w:pPr>
      <w:r>
        <w:rPr>
          <w:rFonts w:ascii="Calibri" w:hAnsi="Calibri"/>
          <w:b/>
          <w:i w:val="0"/>
          <w:color w:val="1F3D6B"/>
          <w:sz w:val="26"/>
        </w:rPr>
        <w:t>2.  Workflow</w:t>
      </w:r>
    </w:p>
    <w:p>
      <w:pPr>
        <w:spacing w:before="240" w:after="80"/>
      </w:pPr>
      <w:r>
        <w:rPr>
          <w:rFonts w:ascii="Calibri" w:hAnsi="Calibri"/>
          <w:b/>
          <w:i w:val="0"/>
          <w:color w:val="2E75B6"/>
          <w:sz w:val="22"/>
        </w:rPr>
        <w:t>Run 0 — Data Collection</w:t>
      </w:r>
    </w:p>
    <w:p>
      <w:pPr>
        <w:spacing w:before="0" w:after="80"/>
      </w:pPr>
      <w:r>
        <w:rPr>
          <w:rFonts w:ascii="Calibri" w:hAnsi="Calibri"/>
          <w:b w:val="0"/>
          <w:i w:val="0"/>
          <w:color w:val="000000"/>
          <w:sz w:val="20"/>
        </w:rPr>
        <w:t>The SEC EDGAR full-text search API is queried for all 10-K and 10-Q filings across 266 US Industrial companies. Amended filings (10-K/A, 10-Q/A) are explicitly filtered to prevent double-counting. All filings are stored as raw HTML.</w:t>
      </w:r>
    </w:p>
    <w:p>
      <w:pPr>
        <w:spacing w:before="240" w:after="80"/>
      </w:pPr>
      <w:r>
        <w:rPr>
          <w:rFonts w:ascii="Calibri" w:hAnsi="Calibri"/>
          <w:b/>
          <w:i w:val="0"/>
          <w:color w:val="2E75B6"/>
          <w:sz w:val="22"/>
        </w:rPr>
        <w:t>Run 1 — Topic Extraction</w:t>
      </w:r>
    </w:p>
    <w:p>
      <w:pPr>
        <w:spacing w:before="0" w:after="80"/>
      </w:pPr>
      <w:r>
        <w:rPr>
          <w:rFonts w:ascii="Calibri" w:hAnsi="Calibri"/>
          <w:b w:val="0"/>
          <w:i w:val="0"/>
          <w:color w:val="000000"/>
          <w:sz w:val="20"/>
        </w:rPr>
        <w:t>Each filing's Risk Factors (Item 1A) and MD&amp;A (Item 7/2) sections are isolated using regex-based section boundary detection on collapsed HTML text. Sentences are extracted and submitted in batches to the GPT-4o-mini Batch API with a sliding two-sentence context window for disambiguation. Each sentence receives one of 12 topic labels (e.g., liquidity_solvency, supply_chain, geopolitical_macro) or 'other'.</w:t>
      </w:r>
    </w:p>
    <w:p>
      <w:pPr>
        <w:spacing w:before="240" w:after="80"/>
      </w:pPr>
      <w:r>
        <w:rPr>
          <w:rFonts w:ascii="Calibri" w:hAnsi="Calibri"/>
          <w:b/>
          <w:i w:val="0"/>
          <w:color w:val="2E75B6"/>
          <w:sz w:val="22"/>
        </w:rPr>
        <w:t>Run 6 — FinBERT Scoring</w:t>
      </w:r>
    </w:p>
    <w:p>
      <w:pPr>
        <w:spacing w:before="0" w:after="80"/>
      </w:pPr>
      <w:r>
        <w:rPr>
          <w:rFonts w:ascii="Calibri" w:hAnsi="Calibri"/>
          <w:b w:val="0"/>
          <w:i w:val="0"/>
          <w:color w:val="000000"/>
          <w:sz w:val="20"/>
        </w:rPr>
        <w:t>The fine-tuned vagueness and complexity classifiers are applied to all topic-labelled sentences, appending vague_label, vague_prob, complex_label, and complex_prob columns to the master CSV. These sentence-level scores are the core quantitative signal in the system.</w:t>
      </w:r>
    </w:p>
    <w:p>
      <w:pPr>
        <w:spacing w:before="240" w:after="80"/>
      </w:pPr>
      <w:r>
        <w:rPr>
          <w:rFonts w:ascii="Calibri" w:hAnsi="Calibri"/>
          <w:b/>
          <w:i w:val="0"/>
          <w:color w:val="2E75B6"/>
          <w:sz w:val="22"/>
        </w:rPr>
        <w:t>Run 7 — Graph Ingestion</w:t>
      </w:r>
    </w:p>
    <w:p>
      <w:pPr>
        <w:spacing w:before="0" w:after="80"/>
      </w:pPr>
      <w:r>
        <w:rPr>
          <w:rFonts w:ascii="Calibri" w:hAnsi="Calibri"/>
          <w:b w:val="0"/>
          <w:i w:val="0"/>
          <w:color w:val="000000"/>
          <w:sz w:val="20"/>
        </w:rPr>
        <w:t>The scored CSV is ingested into Neo4j. Company, Filing, and RiskFactor nodes are created and all five edge types are established, including automatic NEXT_PERIOD linking and PEER_OF edges across the sector universe.</w:t>
      </w:r>
    </w:p>
    <w:p>
      <w:pPr>
        <w:spacing w:before="240" w:after="80"/>
      </w:pPr>
      <w:r>
        <w:rPr>
          <w:rFonts w:ascii="Calibri" w:hAnsi="Calibri"/>
          <w:b/>
          <w:i w:val="0"/>
          <w:color w:val="2E75B6"/>
          <w:sz w:val="22"/>
        </w:rPr>
        <w:t>Run 8 — Two-Tier LLM Analysis</w:t>
      </w:r>
    </w:p>
    <w:p>
      <w:pPr>
        <w:spacing w:before="0" w:after="80"/>
      </w:pPr>
      <w:r>
        <w:rPr>
          <w:rFonts w:ascii="Calibri" w:hAnsi="Calibri"/>
          <w:b w:val="0"/>
          <w:i w:val="0"/>
          <w:color w:val="000000"/>
          <w:sz w:val="20"/>
        </w:rPr>
        <w:t>Tier 1 (GPT-4o-mini) screens every consecutive filing pair per company per topic, returning a structured JSON flag (material_change, confidence, change_type). Items with confidence ≥ 0.70 are escalated to Tier 2 (Claude Opus), which performs temporal language comparison, peer-relative benchmarking using SHARES_TOPIC graph queries, and produces a structured JSON finding with signal strength rating (HIGH / MEDIUM / LOW) and specific analyst action items.</w:t>
      </w:r>
    </w:p>
    <w:p>
      <w:pPr>
        <w:spacing w:before="240" w:after="80"/>
      </w:pPr>
      <w:r>
        <w:rPr>
          <w:rFonts w:ascii="Calibri" w:hAnsi="Calibri"/>
          <w:b/>
          <w:i w:val="0"/>
          <w:color w:val="2E75B6"/>
          <w:sz w:val="22"/>
        </w:rPr>
        <w:t>Runs 9–11 — Output Layer</w:t>
      </w:r>
    </w:p>
    <w:p>
      <w:pPr>
        <w:spacing w:before="0" w:after="80"/>
      </w:pPr>
      <w:r>
        <w:rPr>
          <w:rFonts w:ascii="Calibri" w:hAnsi="Calibri"/>
          <w:b w:val="0"/>
          <w:i w:val="0"/>
          <w:color w:val="000000"/>
          <w:sz w:val="20"/>
        </w:rPr>
        <w:t>Run 9 generates formatted two-page investment memos (.docx) from the findings JSON, including source citations and model provenance consistent with CFA Standard V(A). Run 10 renders a Bloomberg-style global risk heat map derived from aggregate signal scores. Run 11 executes a Li (2008) earnings persistence regression to validate that DDDS-flagged companies exhibit statistically lower forward earnings persistence.</w:t>
      </w:r>
    </w:p>
    <w:p>
      <w:pPr>
        <w:spacing w:before="40" w:after="40"/>
        <w:pBdr>
          <w:bottom w:val="single" w:sz="4" w:space="1" w:color="2E75B6"/>
        </w:pBdr>
      </w:pPr>
    </w:p>
    <w:p>
      <w:pPr>
        <w:spacing w:before="240" w:after="80"/>
      </w:pPr>
      <w:r>
        <w:rPr>
          <w:rFonts w:ascii="Calibri" w:hAnsi="Calibri"/>
          <w:b/>
          <w:i w:val="0"/>
          <w:color w:val="1F3D6B"/>
          <w:sz w:val="26"/>
        </w:rPr>
        <w:t>3.  Data Sources</w:t>
      </w:r>
    </w:p>
    <w:tbl>
      <w:tblPr>
        <w:tblStyle w:val="TableGrid"/>
        <w:tblW w:type="auto" w:w="0"/>
        <w:tblLook w:firstColumn="1" w:firstRow="1" w:lastColumn="0" w:lastRow="0" w:noHBand="0" w:noVBand="1" w:val="04A0"/>
      </w:tblPr>
      <w:tblGrid>
        <w:gridCol w:w="3135"/>
        <w:gridCol w:w="3135"/>
        <w:gridCol w:w="3135"/>
      </w:tblGrid>
      <w:tr>
        <w:tc>
          <w:tcPr>
            <w:tcW w:type="dxa" w:w="2160"/>
          </w:tcPr>
          <w:p/>
        </w:tc>
        <w:tc>
          <w:tcPr>
            <w:tcW w:type="dxa" w:w="4320"/>
          </w:tcPr>
          <w:p/>
        </w:tc>
        <w:tc>
          <w:tcPr>
            <w:tcW w:type="dxa" w:w="2880"/>
          </w:tcPr>
          <w:p/>
        </w:tc>
      </w:tr>
      <w:tr>
        <w:tc>
          <w:tcPr>
            <w:tcW w:type="dxa" w:w="2160"/>
            <w:shd w:val="clear" w:color="auto" w:fill="D6E4F0"/>
          </w:tcPr>
          <w:p>
            <w:r>
              <w:rPr>
                <w:rFonts w:ascii="Calibri" w:hAnsi="Calibri"/>
                <w:b/>
                <w:i w:val="0"/>
                <w:color w:val="1F3D6B"/>
                <w:sz w:val="19"/>
              </w:rPr>
              <w:t>Source</w:t>
            </w:r>
          </w:p>
        </w:tc>
        <w:tc>
          <w:tcPr>
            <w:tcW w:type="dxa" w:w="4320"/>
            <w:shd w:val="clear" w:color="auto" w:fill="D6E4F0"/>
          </w:tcPr>
          <w:p>
            <w:r>
              <w:rPr>
                <w:rFonts w:ascii="Calibri" w:hAnsi="Calibri"/>
                <w:b/>
                <w:i w:val="0"/>
                <w:color w:val="1F3D6B"/>
                <w:sz w:val="19"/>
              </w:rPr>
              <w:t>Content</w:t>
            </w:r>
          </w:p>
        </w:tc>
        <w:tc>
          <w:tcPr>
            <w:tcW w:type="dxa" w:w="2880"/>
            <w:shd w:val="clear" w:color="auto" w:fill="D6E4F0"/>
          </w:tcPr>
          <w:p>
            <w:r>
              <w:rPr>
                <w:rFonts w:ascii="Calibri" w:hAnsi="Calibri"/>
                <w:b/>
                <w:i w:val="0"/>
                <w:color w:val="1F3D6B"/>
                <w:sz w:val="19"/>
              </w:rPr>
              <w:t>Volume</w:t>
            </w:r>
          </w:p>
        </w:tc>
      </w:tr>
      <w:tr>
        <w:tc>
          <w:tcPr>
            <w:tcW w:type="dxa" w:w="2160"/>
          </w:tcPr>
          <w:p>
            <w:r>
              <w:rPr>
                <w:rFonts w:ascii="Calibri" w:hAnsi="Calibri"/>
                <w:b w:val="0"/>
                <w:i w:val="0"/>
                <w:sz w:val="19"/>
              </w:rPr>
              <w:t>SEC EDGAR API</w:t>
            </w:r>
          </w:p>
        </w:tc>
        <w:tc>
          <w:tcPr>
            <w:tcW w:type="dxa" w:w="4320"/>
          </w:tcPr>
          <w:p>
            <w:r>
              <w:rPr>
                <w:rFonts w:ascii="Calibri" w:hAnsi="Calibri"/>
                <w:b w:val="0"/>
                <w:i w:val="0"/>
                <w:sz w:val="19"/>
              </w:rPr>
              <w:t>10-K and 10-Q HTML filings</w:t>
            </w:r>
          </w:p>
        </w:tc>
        <w:tc>
          <w:tcPr>
            <w:tcW w:type="dxa" w:w="2880"/>
          </w:tcPr>
          <w:p>
            <w:r>
              <w:rPr>
                <w:rFonts w:ascii="Calibri" w:hAnsi="Calibri"/>
                <w:b w:val="0"/>
                <w:i w:val="0"/>
                <w:sz w:val="19"/>
              </w:rPr>
              <w:t>266 companies · SIC 3400–3599</w:t>
            </w:r>
          </w:p>
        </w:tc>
      </w:tr>
      <w:tr>
        <w:tc>
          <w:tcPr>
            <w:tcW w:type="dxa" w:w="2160"/>
          </w:tcPr>
          <w:p>
            <w:r>
              <w:rPr>
                <w:rFonts w:ascii="Calibri" w:hAnsi="Calibri"/>
                <w:b w:val="0"/>
                <w:i w:val="0"/>
                <w:sz w:val="19"/>
              </w:rPr>
              <w:t>OpenAI Batch API</w:t>
            </w:r>
          </w:p>
        </w:tc>
        <w:tc>
          <w:tcPr>
            <w:tcW w:type="dxa" w:w="4320"/>
          </w:tcPr>
          <w:p>
            <w:r>
              <w:rPr>
                <w:rFonts w:ascii="Calibri" w:hAnsi="Calibri"/>
                <w:b w:val="0"/>
                <w:i w:val="0"/>
                <w:sz w:val="19"/>
              </w:rPr>
              <w:t>GPT-4o-mini topic classification responses</w:t>
            </w:r>
          </w:p>
        </w:tc>
        <w:tc>
          <w:tcPr>
            <w:tcW w:type="dxa" w:w="2880"/>
          </w:tcPr>
          <w:p>
            <w:r>
              <w:rPr>
                <w:rFonts w:ascii="Calibri" w:hAnsi="Calibri"/>
                <w:b w:val="0"/>
                <w:i w:val="0"/>
                <w:sz w:val="19"/>
              </w:rPr>
              <w:t>~1,064 filings · sentence-level</w:t>
            </w:r>
          </w:p>
        </w:tc>
      </w:tr>
      <w:tr>
        <w:tc>
          <w:tcPr>
            <w:tcW w:type="dxa" w:w="2160"/>
          </w:tcPr>
          <w:p>
            <w:r>
              <w:rPr>
                <w:rFonts w:ascii="Calibri" w:hAnsi="Calibri"/>
                <w:b w:val="0"/>
                <w:i w:val="0"/>
                <w:sz w:val="19"/>
              </w:rPr>
              <w:t>Human annotation</w:t>
            </w:r>
          </w:p>
        </w:tc>
        <w:tc>
          <w:tcPr>
            <w:tcW w:type="dxa" w:w="4320"/>
          </w:tcPr>
          <w:p>
            <w:r>
              <w:rPr>
                <w:rFonts w:ascii="Calibri" w:hAnsi="Calibri"/>
                <w:b w:val="0"/>
                <w:i w:val="0"/>
                <w:sz w:val="19"/>
              </w:rPr>
              <w:t>Vagueness and complexity labels for FinBERT training</w:t>
            </w:r>
          </w:p>
        </w:tc>
        <w:tc>
          <w:tcPr>
            <w:tcW w:type="dxa" w:w="2880"/>
          </w:tcPr>
          <w:p>
            <w:r>
              <w:rPr>
                <w:rFonts w:ascii="Calibri" w:hAnsi="Calibri"/>
                <w:b w:val="0"/>
                <w:i w:val="0"/>
                <w:sz w:val="19"/>
              </w:rPr>
              <w:t>Training set (stratified by filing type &amp; section)</w:t>
            </w:r>
          </w:p>
        </w:tc>
      </w:tr>
      <w:tr>
        <w:tc>
          <w:tcPr>
            <w:tcW w:type="dxa" w:w="2160"/>
          </w:tcPr>
          <w:p>
            <w:r>
              <w:rPr>
                <w:rFonts w:ascii="Calibri" w:hAnsi="Calibri"/>
                <w:b w:val="0"/>
                <w:i w:val="0"/>
                <w:sz w:val="19"/>
              </w:rPr>
              <w:t>SEC EDGAR XBRL API</w:t>
            </w:r>
          </w:p>
        </w:tc>
        <w:tc>
          <w:tcPr>
            <w:tcW w:type="dxa" w:w="4320"/>
          </w:tcPr>
          <w:p>
            <w:r>
              <w:rPr>
                <w:rFonts w:ascii="Calibri" w:hAnsi="Calibri"/>
                <w:b w:val="0"/>
                <w:i w:val="0"/>
                <w:sz w:val="19"/>
              </w:rPr>
              <w:t>EPS / ROA earnings data for backtesting</w:t>
            </w:r>
          </w:p>
        </w:tc>
        <w:tc>
          <w:tcPr>
            <w:tcW w:type="dxa" w:w="2880"/>
          </w:tcPr>
          <w:p>
            <w:r>
              <w:rPr>
                <w:rFonts w:ascii="Calibri" w:hAnsi="Calibri"/>
                <w:b w:val="0"/>
                <w:i w:val="0"/>
                <w:sz w:val="19"/>
              </w:rPr>
              <w:t>Per-company · annual periods</w:t>
            </w:r>
          </w:p>
        </w:tc>
      </w:tr>
      <w:tr>
        <w:tc>
          <w:tcPr>
            <w:tcW w:type="dxa" w:w="2160"/>
          </w:tcPr>
          <w:p>
            <w:r>
              <w:rPr>
                <w:rFonts w:ascii="Calibri" w:hAnsi="Calibri"/>
                <w:b w:val="0"/>
                <w:i w:val="0"/>
                <w:sz w:val="19"/>
              </w:rPr>
              <w:t>yfinance (fallback)</w:t>
            </w:r>
          </w:p>
        </w:tc>
        <w:tc>
          <w:tcPr>
            <w:tcW w:type="dxa" w:w="4320"/>
          </w:tcPr>
          <w:p>
            <w:r>
              <w:rPr>
                <w:rFonts w:ascii="Calibri" w:hAnsi="Calibri"/>
                <w:b w:val="0"/>
                <w:i w:val="0"/>
                <w:sz w:val="19"/>
              </w:rPr>
              <w:t>Earnings data where XBRL unavailable</w:t>
            </w:r>
          </w:p>
        </w:tc>
        <w:tc>
          <w:tcPr>
            <w:tcW w:type="dxa" w:w="2880"/>
          </w:tcPr>
          <w:p>
            <w:r>
              <w:rPr>
                <w:rFonts w:ascii="Calibri" w:hAnsi="Calibri"/>
                <w:b w:val="0"/>
                <w:i w:val="0"/>
                <w:sz w:val="19"/>
              </w:rPr>
              <w:t>Supplementary</w:t>
            </w:r>
          </w:p>
        </w:tc>
      </w:tr>
    </w:tbl>
    <w:p>
      <w:pPr>
        <w:spacing w:after="80"/>
      </w:pPr>
    </w:p>
    <w:p>
      <w:pPr>
        <w:spacing w:before="0" w:after="80"/>
      </w:pPr>
      <w:r>
        <w:rPr>
          <w:rFonts w:ascii="Calibri" w:hAnsi="Calibri"/>
          <w:b w:val="0"/>
          <w:i w:val="0"/>
          <w:color w:val="000000"/>
          <w:sz w:val="20"/>
        </w:rPr>
        <w:t>All data is sourced from publicly available regulatory filings. No proprietary data feeds, paid terminals, or non-public information are used. The SEC EDGAR rate limit (10 requests/second) is respected via a 0.12-second request delay.</w:t>
      </w:r>
    </w:p>
    <w:p>
      <w:pPr>
        <w:spacing w:before="40" w:after="40"/>
        <w:pBdr>
          <w:bottom w:val="single" w:sz="4" w:space="1" w:color="2E75B6"/>
        </w:pBdr>
      </w:pPr>
    </w:p>
    <w:p>
      <w:pPr>
        <w:spacing w:before="240" w:after="80"/>
      </w:pPr>
      <w:r>
        <w:rPr>
          <w:rFonts w:ascii="Calibri" w:hAnsi="Calibri"/>
          <w:b/>
          <w:i w:val="0"/>
          <w:color w:val="1F3D6B"/>
          <w:sz w:val="26"/>
        </w:rPr>
        <w:t>4.  Discussion of Results</w:t>
      </w:r>
    </w:p>
    <w:p>
      <w:pPr>
        <w:spacing w:before="240" w:after="80"/>
      </w:pPr>
      <w:r>
        <w:rPr>
          <w:rFonts w:ascii="Calibri" w:hAnsi="Calibri"/>
          <w:b/>
          <w:i w:val="0"/>
          <w:color w:val="2E75B6"/>
          <w:sz w:val="22"/>
        </w:rPr>
        <w:t>4.1  FinBERT Model Performance</w:t>
      </w:r>
    </w:p>
    <w:p>
      <w:pPr>
        <w:spacing w:before="0" w:after="80"/>
      </w:pPr>
      <w:r>
        <w:rPr>
          <w:rFonts w:ascii="Calibri" w:hAnsi="Calibri"/>
          <w:b w:val="0"/>
          <w:i w:val="0"/>
          <w:color w:val="000000"/>
          <w:sz w:val="20"/>
        </w:rPr>
        <w:t>Both FinBERT classifiers were fine-tuned on human-labelled SEC disclosure passages, stratified by filing type (10-K / 10-Q) and section (Risk Factors / MD&amp;A) to avoid distributional bias. Inter-annotator agreement was measured before training, and a validation sheet process ensured label consistency across the team.</w:t>
      </w:r>
    </w:p>
    <w:tbl>
      <w:tblPr>
        <w:tblStyle w:val="TableGrid"/>
        <w:tblW w:type="auto" w:w="0"/>
        <w:tblLook w:firstColumn="1" w:firstRow="1" w:lastColumn="0" w:lastRow="0" w:noHBand="0" w:noVBand="1" w:val="04A0"/>
      </w:tblPr>
      <w:tblGrid>
        <w:gridCol w:w="3135"/>
        <w:gridCol w:w="3135"/>
        <w:gridCol w:w="3135"/>
      </w:tblGrid>
      <w:tr>
        <w:tc>
          <w:tcPr>
            <w:tcW w:type="dxa" w:w="2880"/>
          </w:tcPr>
          <w:p/>
        </w:tc>
        <w:tc>
          <w:tcPr>
            <w:tcW w:type="dxa" w:w="2880"/>
          </w:tcPr>
          <w:p/>
        </w:tc>
        <w:tc>
          <w:tcPr>
            <w:tcW w:type="dxa" w:w="2880"/>
          </w:tcPr>
          <w:p/>
        </w:tc>
      </w:tr>
      <w:tr>
        <w:tc>
          <w:tcPr>
            <w:tcW w:type="dxa" w:w="2880"/>
            <w:shd w:val="clear" w:color="auto" w:fill="D6E4F0"/>
          </w:tcPr>
          <w:p>
            <w:r>
              <w:rPr>
                <w:rFonts w:ascii="Calibri" w:hAnsi="Calibri"/>
                <w:b/>
                <w:i w:val="0"/>
                <w:color w:val="1F3D6B"/>
                <w:sz w:val="19"/>
              </w:rPr>
              <w:t>Model</w:t>
            </w:r>
          </w:p>
        </w:tc>
        <w:tc>
          <w:tcPr>
            <w:tcW w:type="dxa" w:w="2880"/>
            <w:shd w:val="clear" w:color="auto" w:fill="D6E4F0"/>
          </w:tcPr>
          <w:p>
            <w:r>
              <w:rPr>
                <w:rFonts w:ascii="Calibri" w:hAnsi="Calibri"/>
                <w:b/>
                <w:i w:val="0"/>
                <w:color w:val="1F3D6B"/>
                <w:sz w:val="19"/>
              </w:rPr>
              <w:t>Task</w:t>
            </w:r>
          </w:p>
        </w:tc>
        <w:tc>
          <w:tcPr>
            <w:tcW w:type="dxa" w:w="2880"/>
            <w:shd w:val="clear" w:color="auto" w:fill="D6E4F0"/>
          </w:tcPr>
          <w:p>
            <w:r>
              <w:rPr>
                <w:rFonts w:ascii="Calibri" w:hAnsi="Calibri"/>
                <w:b/>
                <w:i w:val="0"/>
                <w:color w:val="1F3D6B"/>
                <w:sz w:val="19"/>
              </w:rPr>
              <w:t>F1 Macro</w:t>
            </w:r>
          </w:p>
        </w:tc>
      </w:tr>
      <w:tr>
        <w:tc>
          <w:tcPr>
            <w:tcW w:type="dxa" w:w="2880"/>
          </w:tcPr>
          <w:p>
            <w:r>
              <w:rPr>
                <w:rFonts w:ascii="Calibri" w:hAnsi="Calibri"/>
                <w:b w:val="0"/>
                <w:i w:val="0"/>
                <w:sz w:val="19"/>
              </w:rPr>
              <w:t>FinBERT — Vagueness</w:t>
            </w:r>
          </w:p>
        </w:tc>
        <w:tc>
          <w:tcPr>
            <w:tcW w:type="dxa" w:w="2880"/>
          </w:tcPr>
          <w:p>
            <w:r>
              <w:rPr>
                <w:rFonts w:ascii="Calibri" w:hAnsi="Calibri"/>
                <w:b w:val="0"/>
                <w:i w:val="0"/>
                <w:sz w:val="19"/>
              </w:rPr>
              <w:t>SPECIFIC / VAGUE</w:t>
            </w:r>
          </w:p>
        </w:tc>
        <w:tc>
          <w:tcPr>
            <w:tcW w:type="dxa" w:w="2880"/>
          </w:tcPr>
          <w:p>
            <w:r>
              <w:rPr>
                <w:rFonts w:ascii="Calibri" w:hAnsi="Calibri"/>
                <w:b w:val="0"/>
                <w:i w:val="0"/>
                <w:sz w:val="19"/>
              </w:rPr>
              <w:t>0.876</w:t>
            </w:r>
          </w:p>
        </w:tc>
      </w:tr>
      <w:tr>
        <w:tc>
          <w:tcPr>
            <w:tcW w:type="dxa" w:w="2880"/>
          </w:tcPr>
          <w:p>
            <w:r>
              <w:rPr>
                <w:rFonts w:ascii="Calibri" w:hAnsi="Calibri"/>
                <w:b w:val="0"/>
                <w:i w:val="0"/>
                <w:sz w:val="19"/>
              </w:rPr>
              <w:t>FinBERT — Complexity</w:t>
            </w:r>
          </w:p>
        </w:tc>
        <w:tc>
          <w:tcPr>
            <w:tcW w:type="dxa" w:w="2880"/>
          </w:tcPr>
          <w:p>
            <w:r>
              <w:rPr>
                <w:rFonts w:ascii="Calibri" w:hAnsi="Calibri"/>
                <w:b w:val="0"/>
                <w:i w:val="0"/>
                <w:sz w:val="19"/>
              </w:rPr>
              <w:t>SIMPLE / COMPLEX</w:t>
            </w:r>
          </w:p>
        </w:tc>
        <w:tc>
          <w:tcPr>
            <w:tcW w:type="dxa" w:w="2880"/>
          </w:tcPr>
          <w:p>
            <w:r>
              <w:rPr>
                <w:rFonts w:ascii="Calibri" w:hAnsi="Calibri"/>
                <w:b w:val="0"/>
                <w:i w:val="0"/>
                <w:sz w:val="19"/>
              </w:rPr>
              <w:t>0.826</w:t>
            </w:r>
          </w:p>
        </w:tc>
      </w:tr>
    </w:tbl>
    <w:p>
      <w:pPr>
        <w:spacing w:after="80"/>
      </w:pPr>
    </w:p>
    <w:p>
      <w:pPr>
        <w:spacing w:before="0" w:after="80"/>
      </w:pPr>
      <w:r>
        <w:rPr>
          <w:rFonts w:ascii="Calibri" w:hAnsi="Calibri"/>
          <w:b w:val="0"/>
          <w:i w:val="0"/>
          <w:color w:val="000000"/>
          <w:sz w:val="20"/>
        </w:rPr>
        <w:t>An F1 Macro of 0.876 on the vagueness task is a strong result for financial NLP, where class imbalance and domain-specific language typically suppress macro scores relative to accuracy. The complexity classifier's 0.826 reflects the harder task of distinguishing syntactically dense but informationally rich language from genuine obfuscation — a distinction that required careful labelling guidelines.</w:t>
      </w:r>
    </w:p>
    <w:p>
      <w:pPr>
        <w:spacing w:before="240" w:after="80"/>
      </w:pPr>
      <w:r>
        <w:rPr>
          <w:rFonts w:ascii="Calibri" w:hAnsi="Calibri"/>
          <w:b/>
          <w:i w:val="0"/>
          <w:color w:val="2E75B6"/>
          <w:sz w:val="22"/>
        </w:rPr>
        <w:t>4.2  Topic Classification</w:t>
      </w:r>
    </w:p>
    <w:p>
      <w:pPr>
        <w:spacing w:before="0" w:after="80"/>
      </w:pPr>
      <w:r>
        <w:rPr>
          <w:rFonts w:ascii="Calibri" w:hAnsi="Calibri"/>
          <w:b w:val="0"/>
          <w:i w:val="0"/>
          <w:color w:val="000000"/>
          <w:sz w:val="20"/>
        </w:rPr>
        <w:t>The GPT-4o-mini topic classifier uses a sliding two-sentence context window to improve disambiguation at section boundaries. The 12-label taxonomy was designed around material risk categories for US Industrials, with explicit rules to suppress boilerplate assignment: approximately 15–25% of sentences are expected to receive the 'other' label. Temperature is set to 0.0 for reproducibility, and confidence levels (high / medium / low) are returned alongside each label.</w:t>
      </w:r>
    </w:p>
    <w:p>
      <w:pPr>
        <w:spacing w:before="240" w:after="80"/>
      </w:pPr>
      <w:r>
        <w:rPr>
          <w:rFonts w:ascii="Calibri" w:hAnsi="Calibri"/>
          <w:b/>
          <w:i w:val="0"/>
          <w:color w:val="2E75B6"/>
          <w:sz w:val="22"/>
        </w:rPr>
        <w:t>4.3  LLM Analysis Quality</w:t>
      </w:r>
    </w:p>
    <w:p>
      <w:pPr>
        <w:spacing w:before="0" w:after="80"/>
      </w:pPr>
      <w:r>
        <w:rPr>
          <w:rFonts w:ascii="Calibri" w:hAnsi="Calibri"/>
          <w:b w:val="0"/>
          <w:i w:val="0"/>
          <w:color w:val="000000"/>
          <w:sz w:val="20"/>
        </w:rPr>
        <w:t>The two-tier architecture is specifically designed to control cost while maintaining analytical depth. GPT-4o-mini handles high-volume screening across all temporal pairs at low cost, and only items exceeding the 0.70 confidence threshold are escalated to Claude Opus — which operates within a 180,000-token context limit and receives structured graph query results rather than raw filings, ensuring analytical focus. All outputs include exact source text citations, change type classifications, and structured analyst action items.</w:t>
      </w:r>
    </w:p>
    <w:p>
      <w:pPr>
        <w:spacing w:before="40" w:after="40"/>
        <w:pBdr>
          <w:bottom w:val="single" w:sz="4" w:space="1" w:color="2E75B6"/>
        </w:pBdr>
      </w:pPr>
    </w:p>
    <w:p>
      <w:pPr>
        <w:spacing w:before="240" w:after="80"/>
      </w:pPr>
      <w:r>
        <w:rPr>
          <w:rFonts w:ascii="Calibri" w:hAnsi="Calibri"/>
          <w:b/>
          <w:i w:val="0"/>
          <w:color w:val="1F3D6B"/>
          <w:sz w:val="26"/>
        </w:rPr>
        <w:t>5.  Model Interpretability</w:t>
      </w:r>
    </w:p>
    <w:p>
      <w:pPr>
        <w:spacing w:before="0" w:after="80"/>
      </w:pPr>
      <w:r>
        <w:rPr>
          <w:rFonts w:ascii="Calibri" w:hAnsi="Calibri"/>
          <w:b w:val="0"/>
          <w:i w:val="0"/>
          <w:color w:val="000000"/>
          <w:sz w:val="20"/>
        </w:rPr>
        <w:t>Interpretability is a core design requirement given the CFA Standard V(A) auditability framework the system targets. Several mechanisms are implemented:</w:t>
      </w:r>
    </w:p>
    <w:p>
      <w:pPr>
        <w:pStyle w:val="ListBullet"/>
        <w:spacing w:before="40" w:after="40"/>
        <w:ind w:left="432"/>
      </w:pPr>
      <w:r>
        <w:rPr>
          <w:rFonts w:ascii="Calibri" w:hAnsi="Calibri"/>
          <w:b/>
          <w:i w:val="0"/>
          <w:color w:val="1F3D6B"/>
          <w:sz w:val="20"/>
        </w:rPr>
        <w:t xml:space="preserve">Topic Classification: </w:t>
      </w:r>
      <w:r>
        <w:rPr>
          <w:rFonts w:ascii="Calibri" w:hAnsi="Calibri"/>
          <w:b w:val="0"/>
          <w:i w:val="0"/>
          <w:color w:val="000000"/>
          <w:sz w:val="20"/>
        </w:rPr>
        <w:t>Every sentence classification by GPT-4o-mini returns a topic_reason field — a one-sentence natural language explanation of why that label was assigned. This is stored in the CSV and available for audit.</w:t>
      </w:r>
    </w:p>
    <w:p>
      <w:pPr>
        <w:pStyle w:val="ListBullet"/>
        <w:spacing w:before="40" w:after="40"/>
        <w:ind w:left="432"/>
      </w:pPr>
      <w:r>
        <w:rPr>
          <w:rFonts w:ascii="Calibri" w:hAnsi="Calibri"/>
          <w:b/>
          <w:i w:val="0"/>
          <w:color w:val="1F3D6B"/>
          <w:sz w:val="20"/>
        </w:rPr>
        <w:t xml:space="preserve">FinBERT Scores: </w:t>
      </w:r>
      <w:r>
        <w:rPr>
          <w:rFonts w:ascii="Calibri" w:hAnsi="Calibri"/>
          <w:b w:val="0"/>
          <w:i w:val="0"/>
          <w:color w:val="000000"/>
          <w:sz w:val="20"/>
        </w:rPr>
        <w:t>Both FinBERT models output a continuous probability score (vague_prob, complex_prob) in addition to the binary label, enabling downstream threshold tuning and score-based peer benchmarking rather than binary flagging alone.</w:t>
      </w:r>
    </w:p>
    <w:p>
      <w:pPr>
        <w:pStyle w:val="ListBullet"/>
        <w:spacing w:before="40" w:after="40"/>
        <w:ind w:left="432"/>
      </w:pPr>
      <w:r>
        <w:rPr>
          <w:rFonts w:ascii="Calibri" w:hAnsi="Calibri"/>
          <w:b/>
          <w:i w:val="0"/>
          <w:color w:val="1F3D6B"/>
          <w:sz w:val="20"/>
        </w:rPr>
        <w:t xml:space="preserve">Screening Transparency: </w:t>
      </w:r>
      <w:r>
        <w:rPr>
          <w:rFonts w:ascii="Calibri" w:hAnsi="Calibri"/>
          <w:b w:val="0"/>
          <w:i w:val="0"/>
          <w:color w:val="000000"/>
          <w:sz w:val="20"/>
        </w:rPr>
        <w:t>The GPT-4o-mini screener returns a structured change_type classification (new_risk, language_intensification, metric_removal, solvency_language) alongside its confidence score, making the basis for escalation explicit and auditable.</w:t>
      </w:r>
    </w:p>
    <w:p>
      <w:pPr>
        <w:pStyle w:val="ListBullet"/>
        <w:spacing w:before="40" w:after="40"/>
        <w:ind w:left="432"/>
      </w:pPr>
      <w:r>
        <w:rPr>
          <w:rFonts w:ascii="Calibri" w:hAnsi="Calibri"/>
          <w:b/>
          <w:i w:val="0"/>
          <w:color w:val="1F3D6B"/>
          <w:sz w:val="20"/>
        </w:rPr>
        <w:t xml:space="preserve">LLM Grounding: </w:t>
      </w:r>
      <w:r>
        <w:rPr>
          <w:rFonts w:ascii="Calibri" w:hAnsi="Calibri"/>
          <w:b w:val="0"/>
          <w:i w:val="0"/>
          <w:color w:val="000000"/>
          <w:sz w:val="20"/>
        </w:rPr>
        <w:t>The Claude Opus deep analysis layer is instructed to cite exact language from source passages in every finding. Analyst memos include model provenance (model name, analysis date, confidence levels) and a non-reliance disclaimer consistent with CFA standards.</w:t>
      </w:r>
    </w:p>
    <w:p>
      <w:pPr>
        <w:pStyle w:val="ListBullet"/>
        <w:spacing w:before="40" w:after="40"/>
        <w:ind w:left="432"/>
      </w:pPr>
      <w:r>
        <w:rPr>
          <w:rFonts w:ascii="Calibri" w:hAnsi="Calibri"/>
          <w:b/>
          <w:i w:val="0"/>
          <w:color w:val="1F3D6B"/>
          <w:sz w:val="20"/>
        </w:rPr>
        <w:t xml:space="preserve">Graph Provenance: </w:t>
      </w:r>
      <w:r>
        <w:rPr>
          <w:rFonts w:ascii="Calibri" w:hAnsi="Calibri"/>
          <w:b w:val="0"/>
          <w:i w:val="0"/>
          <w:color w:val="000000"/>
          <w:sz w:val="20"/>
        </w:rPr>
        <w:t>The Neo4j graph stores every node and edge that contributed to a finding, allowing any signal to be traced back to specific filing sentences via the rf_id provenance chain.</w:t>
      </w:r>
    </w:p>
    <w:p>
      <w:pPr>
        <w:spacing w:before="40" w:after="40"/>
        <w:pBdr>
          <w:bottom w:val="single" w:sz="4" w:space="1" w:color="2E75B6"/>
        </w:pBdr>
      </w:pPr>
    </w:p>
    <w:p>
      <w:pPr>
        <w:spacing w:before="240" w:after="80"/>
      </w:pPr>
      <w:r>
        <w:rPr>
          <w:rFonts w:ascii="Calibri" w:hAnsi="Calibri"/>
          <w:b/>
          <w:i w:val="0"/>
          <w:color w:val="1F3D6B"/>
          <w:sz w:val="26"/>
        </w:rPr>
        <w:t>6.  AI Usage</w:t>
      </w:r>
    </w:p>
    <w:p>
      <w:pPr>
        <w:spacing w:before="0" w:after="80"/>
      </w:pPr>
      <w:r>
        <w:rPr>
          <w:rFonts w:ascii="Calibri" w:hAnsi="Calibri"/>
          <w:b w:val="0"/>
          <w:i w:val="0"/>
          <w:color w:val="000000"/>
          <w:sz w:val="20"/>
        </w:rPr>
        <w:t>DDDS uses AI at three distinct stages, each with a clearly defined and bounded role:</w:t>
      </w:r>
    </w:p>
    <w:tbl>
      <w:tblPr>
        <w:tblStyle w:val="TableGrid"/>
        <w:tblW w:type="auto" w:w="0"/>
        <w:tblLook w:firstColumn="1" w:firstRow="1" w:lastColumn="0" w:lastRow="0" w:noHBand="0" w:noVBand="1" w:val="04A0"/>
      </w:tblPr>
      <w:tblGrid>
        <w:gridCol w:w="3135"/>
        <w:gridCol w:w="3135"/>
        <w:gridCol w:w="3135"/>
      </w:tblGrid>
      <w:tr>
        <w:tc>
          <w:tcPr>
            <w:tcW w:type="dxa" w:w="2160"/>
          </w:tcPr>
          <w:p/>
        </w:tc>
        <w:tc>
          <w:tcPr>
            <w:tcW w:type="dxa" w:w="3600"/>
          </w:tcPr>
          <w:p/>
        </w:tc>
        <w:tc>
          <w:tcPr>
            <w:tcW w:type="dxa" w:w="4320"/>
          </w:tcPr>
          <w:p/>
        </w:tc>
      </w:tr>
      <w:tr>
        <w:tc>
          <w:tcPr>
            <w:tcW w:type="dxa" w:w="2160"/>
            <w:shd w:val="clear" w:color="auto" w:fill="D6E4F0"/>
          </w:tcPr>
          <w:p>
            <w:r>
              <w:rPr>
                <w:rFonts w:ascii="Calibri" w:hAnsi="Calibri"/>
                <w:b/>
                <w:i w:val="0"/>
                <w:color w:val="1F3D6B"/>
                <w:sz w:val="19"/>
              </w:rPr>
              <w:t>Model</w:t>
            </w:r>
          </w:p>
        </w:tc>
        <w:tc>
          <w:tcPr>
            <w:tcW w:type="dxa" w:w="3600"/>
            <w:shd w:val="clear" w:color="auto" w:fill="D6E4F0"/>
          </w:tcPr>
          <w:p>
            <w:r>
              <w:rPr>
                <w:rFonts w:ascii="Calibri" w:hAnsi="Calibri"/>
                <w:b/>
                <w:i w:val="0"/>
                <w:color w:val="1F3D6B"/>
                <w:sz w:val="19"/>
              </w:rPr>
              <w:t>Role</w:t>
            </w:r>
          </w:p>
        </w:tc>
        <w:tc>
          <w:tcPr>
            <w:tcW w:type="dxa" w:w="4320"/>
            <w:shd w:val="clear" w:color="auto" w:fill="D6E4F0"/>
          </w:tcPr>
          <w:p>
            <w:r>
              <w:rPr>
                <w:rFonts w:ascii="Calibri" w:hAnsi="Calibri"/>
                <w:b/>
                <w:i w:val="0"/>
                <w:color w:val="1F3D6B"/>
                <w:sz w:val="19"/>
              </w:rPr>
              <w:t>Scope</w:t>
            </w:r>
          </w:p>
        </w:tc>
      </w:tr>
      <w:tr>
        <w:tc>
          <w:tcPr>
            <w:tcW w:type="dxa" w:w="2160"/>
          </w:tcPr>
          <w:p>
            <w:r>
              <w:rPr>
                <w:rFonts w:ascii="Calibri" w:hAnsi="Calibri"/>
                <w:b w:val="0"/>
                <w:i w:val="0"/>
                <w:sz w:val="18"/>
              </w:rPr>
              <w:t>GPT-4o-mini</w:t>
              <w:br/>
              <w:t>(OpenAI Batch API)</w:t>
            </w:r>
          </w:p>
        </w:tc>
        <w:tc>
          <w:tcPr>
            <w:tcW w:type="dxa" w:w="3600"/>
          </w:tcPr>
          <w:p>
            <w:r>
              <w:rPr>
                <w:rFonts w:ascii="Calibri" w:hAnsi="Calibri"/>
                <w:b w:val="0"/>
                <w:i w:val="0"/>
                <w:sz w:val="18"/>
              </w:rPr>
              <w:t>Topic classification of risk-factor sentences</w:t>
            </w:r>
          </w:p>
        </w:tc>
        <w:tc>
          <w:tcPr>
            <w:tcW w:type="dxa" w:w="4320"/>
          </w:tcPr>
          <w:p>
            <w:r>
              <w:rPr>
                <w:rFonts w:ascii="Calibri" w:hAnsi="Calibri"/>
                <w:b w:val="0"/>
                <w:i w:val="0"/>
                <w:sz w:val="18"/>
              </w:rPr>
              <w:t>12-label taxonomy · one label per sentence · ~1M+ sentences across corpus</w:t>
            </w:r>
          </w:p>
        </w:tc>
      </w:tr>
      <w:tr>
        <w:tc>
          <w:tcPr>
            <w:tcW w:type="dxa" w:w="2160"/>
          </w:tcPr>
          <w:p>
            <w:r>
              <w:rPr>
                <w:rFonts w:ascii="Calibri" w:hAnsi="Calibri"/>
                <w:b w:val="0"/>
                <w:i w:val="0"/>
                <w:sz w:val="18"/>
              </w:rPr>
              <w:t>FinBERT</w:t>
              <w:br/>
              <w:t>(Fine-tuned, local)</w:t>
            </w:r>
          </w:p>
        </w:tc>
        <w:tc>
          <w:tcPr>
            <w:tcW w:type="dxa" w:w="3600"/>
          </w:tcPr>
          <w:p>
            <w:r>
              <w:rPr>
                <w:rFonts w:ascii="Calibri" w:hAnsi="Calibri"/>
                <w:b w:val="0"/>
                <w:i w:val="0"/>
                <w:sz w:val="18"/>
              </w:rPr>
              <w:t>Vagueness and complexity scoring</w:t>
            </w:r>
          </w:p>
        </w:tc>
        <w:tc>
          <w:tcPr>
            <w:tcW w:type="dxa" w:w="4320"/>
          </w:tcPr>
          <w:p>
            <w:r>
              <w:rPr>
                <w:rFonts w:ascii="Calibri" w:hAnsi="Calibri"/>
                <w:b w:val="0"/>
                <w:i w:val="0"/>
                <w:sz w:val="18"/>
              </w:rPr>
              <w:t>Binary classification with probability output · runs locally on all scored sentences</w:t>
            </w:r>
          </w:p>
        </w:tc>
      </w:tr>
      <w:tr>
        <w:tc>
          <w:tcPr>
            <w:tcW w:type="dxa" w:w="2160"/>
          </w:tcPr>
          <w:p>
            <w:r>
              <w:rPr>
                <w:rFonts w:ascii="Calibri" w:hAnsi="Calibri"/>
                <w:b w:val="0"/>
                <w:i w:val="0"/>
                <w:sz w:val="18"/>
              </w:rPr>
              <w:t>GPT-4o-mini</w:t>
              <w:br/>
              <w:t>(OpenAI Chat API)</w:t>
            </w:r>
          </w:p>
        </w:tc>
        <w:tc>
          <w:tcPr>
            <w:tcW w:type="dxa" w:w="3600"/>
          </w:tcPr>
          <w:p>
            <w:r>
              <w:rPr>
                <w:rFonts w:ascii="Calibri" w:hAnsi="Calibri"/>
                <w:b w:val="0"/>
                <w:i w:val="0"/>
                <w:sz w:val="18"/>
              </w:rPr>
              <w:t>Tier 1 screening — temporal change detection</w:t>
            </w:r>
          </w:p>
        </w:tc>
        <w:tc>
          <w:tcPr>
            <w:tcW w:type="dxa" w:w="4320"/>
          </w:tcPr>
          <w:p>
            <w:r>
              <w:rPr>
                <w:rFonts w:ascii="Calibri" w:hAnsi="Calibri"/>
                <w:b w:val="0"/>
                <w:i w:val="0"/>
                <w:sz w:val="18"/>
              </w:rPr>
              <w:t>Pairwise filing comparison · structured JSON output · confidence threshold ≥ 0.70</w:t>
            </w:r>
          </w:p>
        </w:tc>
      </w:tr>
      <w:tr>
        <w:tc>
          <w:tcPr>
            <w:tcW w:type="dxa" w:w="2160"/>
          </w:tcPr>
          <w:p>
            <w:r>
              <w:rPr>
                <w:rFonts w:ascii="Calibri" w:hAnsi="Calibri"/>
                <w:b w:val="0"/>
                <w:i w:val="0"/>
                <w:sz w:val="18"/>
              </w:rPr>
              <w:t>Claude Opus 4.6</w:t>
              <w:br/>
              <w:t>(Anthropic API)</w:t>
            </w:r>
          </w:p>
        </w:tc>
        <w:tc>
          <w:tcPr>
            <w:tcW w:type="dxa" w:w="3600"/>
          </w:tcPr>
          <w:p>
            <w:r>
              <w:rPr>
                <w:rFonts w:ascii="Calibri" w:hAnsi="Calibri"/>
                <w:b w:val="0"/>
                <w:i w:val="0"/>
                <w:sz w:val="18"/>
              </w:rPr>
              <w:t>Tier 2 deep analysis — temporal, peer, and contradiction analysis</w:t>
            </w:r>
          </w:p>
        </w:tc>
        <w:tc>
          <w:tcPr>
            <w:tcW w:type="dxa" w:w="4320"/>
          </w:tcPr>
          <w:p>
            <w:r>
              <w:rPr>
                <w:rFonts w:ascii="Calibri" w:hAnsi="Calibri"/>
                <w:b w:val="0"/>
                <w:i w:val="0"/>
                <w:sz w:val="18"/>
              </w:rPr>
              <w:t>Graph-augmented context · 180k token limit · structured JSON findings</w:t>
            </w:r>
          </w:p>
        </w:tc>
      </w:tr>
    </w:tbl>
    <w:p>
      <w:pPr>
        <w:spacing w:after="120"/>
      </w:pPr>
    </w:p>
    <w:p>
      <w:pPr>
        <w:spacing w:before="0" w:after="80"/>
      </w:pPr>
      <w:r>
        <w:rPr>
          <w:rFonts w:ascii="Calibri" w:hAnsi="Calibri"/>
          <w:b w:val="0"/>
          <w:i w:val="0"/>
          <w:color w:val="000000"/>
          <w:sz w:val="20"/>
        </w:rPr>
        <w:t>No AI model is given unstructured access to raw data or asked to produce free-form outputs without a defined schema. All LLM calls use temperature=0.0 (or equivalent) for reproducibility, structured JSON response formats for parseability, and explicit system prompts that define scope, output format, and classification rules. The FinBERT models run locally with no external API dependency, ensuring data confidentiality for sensitive filing content.</w:t>
      </w:r>
    </w:p>
    <w:p>
      <w:pPr>
        <w:spacing w:before="40" w:after="40"/>
        <w:pBdr>
          <w:bottom w:val="single" w:sz="4" w:space="1" w:color="2E75B6"/>
        </w:pBdr>
      </w:pPr>
    </w:p>
    <w:p>
      <w:pPr>
        <w:spacing w:before="80"/>
        <w:jc w:val="center"/>
      </w:pPr>
      <w:r>
        <w:rPr>
          <w:rFonts w:ascii="Calibri" w:hAnsi="Calibri"/>
          <w:b w:val="0"/>
          <w:i/>
          <w:color w:val="808080"/>
          <w:sz w:val="16"/>
        </w:rPr>
        <w:t>DDDS — The Transparency Project  ·  Lancaster University  ·  CFA AI Investment Challenge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