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jc w:val="left"/>
      </w:pPr>
      <w:r>
        <w:rPr>
          <w:rFonts w:ascii="Arial" w:cs="Arial" w:eastAsia="Arial" w:hAnsi="Arial"/>
          <w:b/>
          <w:bCs/>
          <w:color w:val="1A8A7A"/>
          <w:sz w:val="18"/>
          <w:szCs w:val="18"/>
        </w:rPr>
        <w:t xml:space="preserve">AUSSIEPAY SCENARIO ENGINE</w:t>
      </w:r>
    </w:p>
    <w:p>
      <w:pPr>
        <w:spacing w:after="200"/>
        <w:jc w:val="left"/>
      </w:pPr>
      <w:r>
        <w:rPr>
          <w:rFonts w:ascii="Arial" w:cs="Arial" w:eastAsia="Arial" w:hAnsi="Arial"/>
          <w:b/>
          <w:bCs/>
          <w:color w:val="1A1A1A"/>
          <w:sz w:val="52"/>
          <w:szCs w:val="52"/>
        </w:rPr>
        <w:t xml:space="preserve">Legal Documents</w:t>
      </w:r>
    </w:p>
    <w:p>
      <w:pPr>
        <w:spacing w:after="100"/>
        <w:jc w:val="left"/>
      </w:pPr>
      <w:r>
        <w:rPr>
          <w:rFonts w:ascii="Arial" w:cs="Arial" w:eastAsia="Arial" w:hAnsi="Arial"/>
          <w:color w:val="666666"/>
          <w:sz w:val="24"/>
          <w:szCs w:val="24"/>
        </w:rPr>
        <w:t xml:space="preserve">Privacy Policy, Terms of Use, and Disclaimer</w:t>
      </w:r>
    </w:p>
    <w:p>
      <w:pPr>
        <w:spacing w:after="600"/>
        <w:jc w:val="left"/>
      </w:pPr>
      <w:r>
        <w:rPr>
          <w:rFonts w:ascii="Arial" w:cs="Arial" w:eastAsia="Arial" w:hAnsi="Arial"/>
          <w:color w:val="888888"/>
          <w:sz w:val="21"/>
          <w:szCs w:val="21"/>
        </w:rPr>
        <w:t xml:space="preserve">Last updated: April 2026</w:t>
      </w:r>
    </w:p>
    <w:p>
      <w:pPr>
        <w:spacing w:after="160"/>
      </w:pPr>
      <w:r>
        <w:rPr>
          <w:rFonts w:ascii="Arial" w:cs="Arial" w:eastAsia="Arial" w:hAnsi="Arial"/>
          <w:color w:val="444444"/>
          <w:sz w:val="21"/>
          <w:szCs w:val="21"/>
        </w:rPr>
        <w:t xml:space="preserve">AussiePay Scenario Engine (aussiepay.netlify.app) is a personal, non-commercial project built for educational and research purposes. It explores forward-looking topics in Australian payments using publicly available data and AI-generated analysis.</w:t>
      </w:r>
    </w:p>
    <w:p>
      <w:pPr>
        <w:spacing w:after="160"/>
      </w:pPr>
      <w:r>
        <w:rPr>
          <w:rFonts w:ascii="Arial" w:cs="Arial" w:eastAsia="Arial" w:hAnsi="Arial"/>
          <w:color w:val="444444"/>
          <w:sz w:val="21"/>
          <w:szCs w:val="21"/>
        </w:rPr>
        <w:t xml:space="preserve">This document contains the Privacy Policy, Terms of Use, and Disclaimer that govern your use of the tool.</w:t>
      </w:r>
    </w:p>
    <w:p>
      <w:pPr>
        <w:pBdr>
          <w:bottom w:val="single" w:color="1A8A7A" w:sz="6" w:space="1"/>
        </w:pBdr>
        <w:spacing w:after="300" w:before="300"/>
      </w:pPr>
    </w:p>
    <w:p>
      <w:pPr>
        <w:pStyle w:val="Heading1"/>
        <w:spacing w:after="200" w:before="400"/>
      </w:pPr>
      <w:r>
        <w:rPr>
          <w:rFonts w:ascii="Arial" w:cs="Arial" w:eastAsia="Arial" w:hAnsi="Arial"/>
          <w:b/>
          <w:bCs/>
          <w:color w:val="1A1A1A"/>
          <w:sz w:val="32"/>
          <w:szCs w:val="32"/>
        </w:rPr>
        <w:t xml:space="preserve">1. Privacy Policy</w:t>
      </w:r>
    </w:p>
    <w:p>
      <w:pPr>
        <w:pStyle w:val="Heading2"/>
        <w:spacing w:after="150" w:before="300"/>
      </w:pPr>
      <w:r>
        <w:rPr>
          <w:rFonts w:ascii="Arial" w:cs="Arial" w:eastAsia="Arial" w:hAnsi="Arial"/>
          <w:b/>
          <w:bCs/>
          <w:color w:val="333333"/>
          <w:sz w:val="26"/>
          <w:szCs w:val="26"/>
        </w:rPr>
        <w:t xml:space="preserve">1.1 Overview</w:t>
      </w:r>
    </w:p>
    <w:p>
      <w:pPr>
        <w:spacing w:after="160"/>
      </w:pPr>
      <w:r>
        <w:rPr>
          <w:rFonts w:ascii="Arial" w:cs="Arial" w:eastAsia="Arial" w:hAnsi="Arial"/>
          <w:color w:val="444444"/>
          <w:sz w:val="21"/>
          <w:szCs w:val="21"/>
        </w:rPr>
        <w:t xml:space="preserve">AussiePay Scenario Engine (the "Tool") is a personal, non-commercial project built for educational and research purposes. It is not operated by a company, organisation, or employer. This Privacy Policy explains how information is collected, used, and protected when you use the Tool.</w:t>
      </w:r>
    </w:p>
    <w:p>
      <w:pPr>
        <w:pStyle w:val="Heading2"/>
        <w:spacing w:after="150" w:before="300"/>
      </w:pPr>
      <w:r>
        <w:rPr>
          <w:rFonts w:ascii="Arial" w:cs="Arial" w:eastAsia="Arial" w:hAnsi="Arial"/>
          <w:b/>
          <w:bCs/>
          <w:color w:val="333333"/>
          <w:sz w:val="26"/>
          <w:szCs w:val="26"/>
        </w:rPr>
        <w:t xml:space="preserve">1.2 Who operates this Tool</w:t>
      </w:r>
    </w:p>
    <w:p>
      <w:pPr>
        <w:spacing w:after="160"/>
      </w:pPr>
      <w:r>
        <w:rPr>
          <w:rFonts w:ascii="Arial" w:cs="Arial" w:eastAsia="Arial" w:hAnsi="Arial"/>
          <w:color w:val="444444"/>
          <w:sz w:val="21"/>
          <w:szCs w:val="21"/>
        </w:rPr>
        <w:t xml:space="preserve">The Tool is built and maintained by an individual as a personal project. It was developed entirely in the author's personal capacity, on personal time, using personal equipment and resources. It is not affiliated with, endorsed by, or representative of any employer, company, card network, financial institution, payment scheme, regulator, or industry body. All views, analysis, and content are the author's own.</w:t>
      </w:r>
    </w:p>
    <w:p>
      <w:pPr>
        <w:pStyle w:val="Heading2"/>
        <w:spacing w:after="150" w:before="300"/>
      </w:pPr>
      <w:r>
        <w:rPr>
          <w:rFonts w:ascii="Arial" w:cs="Arial" w:eastAsia="Arial" w:hAnsi="Arial"/>
          <w:b/>
          <w:bCs/>
          <w:color w:val="333333"/>
          <w:sz w:val="26"/>
          <w:szCs w:val="26"/>
        </w:rPr>
        <w:t xml:space="preserve">1.3 What we collect</w:t>
      </w:r>
    </w:p>
    <w:p>
      <w:pPr>
        <w:spacing w:after="160"/>
      </w:pPr>
      <w:r>
        <w:rPr>
          <w:rFonts w:ascii="Arial" w:cs="Arial" w:eastAsia="Arial" w:hAnsi="Arial"/>
          <w:b/>
          <w:bCs/>
          <w:color w:val="333333"/>
          <w:sz w:val="21"/>
          <w:szCs w:val="21"/>
        </w:rPr>
        <w:t xml:space="preserve">Anonymous scenario telemetry. </w:t>
      </w:r>
      <w:r>
        <w:rPr>
          <w:rFonts w:ascii="Arial" w:cs="Arial" w:eastAsia="Arial" w:hAnsi="Arial"/>
          <w:color w:val="444444"/>
          <w:sz w:val="21"/>
          <w:szCs w:val="21"/>
        </w:rPr>
        <w:t xml:space="preserve">When you interact with the scenario engine and generate a strategic brief, we log the following data points: timestamp, the role you selected, the topic you were viewing, the lever positions you configured, the computed outcome scores, and a summary of the AI-generated output. This data is anonymous. No names, email addresses, IP addresses, or device identifiers are collected.</w:t>
      </w:r>
    </w:p>
    <w:p>
      <w:pPr>
        <w:spacing w:after="160"/>
      </w:pPr>
      <w:r>
        <w:rPr>
          <w:rFonts w:ascii="Arial" w:cs="Arial" w:eastAsia="Arial" w:hAnsi="Arial"/>
          <w:b/>
          <w:bCs/>
          <w:color w:val="333333"/>
          <w:sz w:val="21"/>
          <w:szCs w:val="21"/>
        </w:rPr>
        <w:t xml:space="preserve">Session identifiers. </w:t>
      </w:r>
      <w:r>
        <w:rPr>
          <w:rFonts w:ascii="Arial" w:cs="Arial" w:eastAsia="Arial" w:hAnsi="Arial"/>
          <w:color w:val="444444"/>
          <w:sz w:val="21"/>
          <w:szCs w:val="21"/>
        </w:rPr>
        <w:t xml:space="preserve">A random, anonymous session ID is generated in your browser's session storage each time you visit. It is not linked to your identity, is not a cookie, and is discarded when you close the browser tab.</w:t>
      </w:r>
    </w:p>
    <w:p>
      <w:pPr>
        <w:spacing w:after="160"/>
      </w:pPr>
      <w:r>
        <w:rPr>
          <w:rFonts w:ascii="Arial" w:cs="Arial" w:eastAsia="Arial" w:hAnsi="Arial"/>
          <w:b/>
          <w:bCs/>
          <w:color w:val="333333"/>
          <w:sz w:val="21"/>
          <w:szCs w:val="21"/>
        </w:rPr>
        <w:t xml:space="preserve">No personal information. </w:t>
      </w:r>
      <w:r>
        <w:rPr>
          <w:rFonts w:ascii="Arial" w:cs="Arial" w:eastAsia="Arial" w:hAnsi="Arial"/>
          <w:color w:val="444444"/>
          <w:sz w:val="21"/>
          <w:szCs w:val="21"/>
        </w:rPr>
        <w:t xml:space="preserve">The Tool does not collect names, email addresses, phone numbers, payment details, location data, or any other personally identifiable information unless you explicitly provide it through an optional feature (see section 1.4).</w:t>
      </w:r>
    </w:p>
    <w:p>
      <w:pPr>
        <w:pStyle w:val="Heading2"/>
        <w:spacing w:after="150" w:before="300"/>
      </w:pPr>
      <w:r>
        <w:rPr>
          <w:rFonts w:ascii="Arial" w:cs="Arial" w:eastAsia="Arial" w:hAnsi="Arial"/>
          <w:b/>
          <w:bCs/>
          <w:color w:val="333333"/>
          <w:sz w:val="26"/>
          <w:szCs w:val="26"/>
        </w:rPr>
        <w:t xml:space="preserve">1.4 Optional features</w:t>
      </w:r>
    </w:p>
    <w:p>
      <w:pPr>
        <w:spacing w:after="160"/>
      </w:pPr>
      <w:r>
        <w:rPr>
          <w:rFonts w:ascii="Arial" w:cs="Arial" w:eastAsia="Arial" w:hAnsi="Arial"/>
          <w:color w:val="444444"/>
          <w:sz w:val="21"/>
          <w:szCs w:val="21"/>
        </w:rPr>
        <w:t xml:space="preserve">If an optional "Save scenario" feature is offered in the future, it may ask for your email address. This would be entirely voluntary, clearly labelled, and used only to send you a copy of your scenario or notify you of data updates. Your email would be stored separately from scenario data and never shared with third parties. You may request deletion of your email at any time.</w:t>
      </w:r>
    </w:p>
    <w:p>
      <w:pPr>
        <w:pStyle w:val="Heading2"/>
        <w:spacing w:after="150" w:before="300"/>
      </w:pPr>
      <w:r>
        <w:rPr>
          <w:rFonts w:ascii="Arial" w:cs="Arial" w:eastAsia="Arial" w:hAnsi="Arial"/>
          <w:b/>
          <w:bCs/>
          <w:color w:val="333333"/>
          <w:sz w:val="26"/>
          <w:szCs w:val="26"/>
        </w:rPr>
        <w:t xml:space="preserve">1.5 How we use collected data</w:t>
      </w:r>
    </w:p>
    <w:p>
      <w:pPr>
        <w:spacing w:after="160"/>
      </w:pPr>
      <w:r>
        <w:rPr>
          <w:rFonts w:ascii="Arial" w:cs="Arial" w:eastAsia="Arial" w:hAnsi="Arial"/>
          <w:color w:val="444444"/>
          <w:sz w:val="21"/>
          <w:szCs w:val="21"/>
        </w:rPr>
        <w:t xml:space="preserve">Anonymous scenario telemetry is used to understand how the tool is being used, identify which topics and variables are most engaged with, improve the scenario models and AI prompt quality, and potentially publish aggregated, anonymised insights about how payments professionals think about strategic variables. No individual session or configuration will ever be identified or published.</w:t>
      </w:r>
    </w:p>
    <w:p>
      <w:pPr>
        <w:pStyle w:val="Heading2"/>
        <w:spacing w:after="150" w:before="300"/>
      </w:pPr>
      <w:r>
        <w:rPr>
          <w:rFonts w:ascii="Arial" w:cs="Arial" w:eastAsia="Arial" w:hAnsi="Arial"/>
          <w:b/>
          <w:bCs/>
          <w:color w:val="333333"/>
          <w:sz w:val="26"/>
          <w:szCs w:val="26"/>
        </w:rPr>
        <w:t xml:space="preserve">1.6 Third-party services</w:t>
      </w:r>
    </w:p>
    <w:p>
      <w:pPr>
        <w:spacing w:after="160"/>
      </w:pPr>
      <w:r>
        <w:rPr>
          <w:rFonts w:ascii="Arial" w:cs="Arial" w:eastAsia="Arial" w:hAnsi="Arial"/>
          <w:color w:val="444444"/>
          <w:sz w:val="21"/>
          <w:szCs w:val="21"/>
        </w:rPr>
        <w:t xml:space="preserve">The Tool uses the following third-party services:</w:t>
      </w:r>
    </w:p>
    <w:p>
      <w:pPr>
        <w:spacing w:after="160"/>
      </w:pPr>
      <w:r>
        <w:rPr>
          <w:rFonts w:ascii="Arial" w:cs="Arial" w:eastAsia="Arial" w:hAnsi="Arial"/>
          <w:b/>
          <w:bCs/>
          <w:color w:val="333333"/>
          <w:sz w:val="21"/>
          <w:szCs w:val="21"/>
        </w:rPr>
        <w:t xml:space="preserve">Supabase </w:t>
      </w:r>
      <w:r>
        <w:rPr>
          <w:rFonts w:ascii="Arial" w:cs="Arial" w:eastAsia="Arial" w:hAnsi="Arial"/>
          <w:color w:val="444444"/>
          <w:sz w:val="21"/>
          <w:szCs w:val="21"/>
        </w:rPr>
        <w:t xml:space="preserve">(supabase.com) for anonymous data storage. Supabase processes data in accordance with its own privacy policy.</w:t>
      </w:r>
    </w:p>
    <w:p>
      <w:pPr>
        <w:spacing w:after="160"/>
      </w:pPr>
      <w:r>
        <w:rPr>
          <w:rFonts w:ascii="Arial" w:cs="Arial" w:eastAsia="Arial" w:hAnsi="Arial"/>
          <w:b/>
          <w:bCs/>
          <w:color w:val="333333"/>
          <w:sz w:val="21"/>
          <w:szCs w:val="21"/>
        </w:rPr>
        <w:t xml:space="preserve">Grok API </w:t>
      </w:r>
      <w:r>
        <w:rPr>
          <w:rFonts w:ascii="Arial" w:cs="Arial" w:eastAsia="Arial" w:hAnsi="Arial"/>
          <w:color w:val="444444"/>
          <w:sz w:val="21"/>
          <w:szCs w:val="21"/>
        </w:rPr>
        <w:t xml:space="preserve">(x.ai) for AI-generated strategic briefs. Scenario configurations are sent to the Grok API to generate analysis. No personal data is included in these API calls. The data sent consists only of anonymous scenario variables (role, topic, lever positions). Scenario data sent to the Grok API may be used by xAI in accordance with its API terms, which may include model training. Users should review xAI's privacy policy and API terms of service for details on how data is handled.</w:t>
      </w:r>
    </w:p>
    <w:p>
      <w:pPr>
        <w:spacing w:after="160"/>
      </w:pPr>
      <w:r>
        <w:rPr>
          <w:rFonts w:ascii="Arial" w:cs="Arial" w:eastAsia="Arial" w:hAnsi="Arial"/>
          <w:b/>
          <w:bCs/>
          <w:color w:val="333333"/>
          <w:sz w:val="21"/>
          <w:szCs w:val="21"/>
        </w:rPr>
        <w:t xml:space="preserve">Netlify </w:t>
      </w:r>
      <w:r>
        <w:rPr>
          <w:rFonts w:ascii="Arial" w:cs="Arial" w:eastAsia="Arial" w:hAnsi="Arial"/>
          <w:color w:val="444444"/>
          <w:sz w:val="21"/>
          <w:szCs w:val="21"/>
        </w:rPr>
        <w:t xml:space="preserve">(netlify.com) for hosting. Netlify may collect standard server logs (IP addresses, browser type) as part of its hosting infrastructure. This is governed by Netlify's privacy policy.</w:t>
      </w:r>
    </w:p>
    <w:p>
      <w:pPr>
        <w:spacing w:after="160"/>
      </w:pPr>
      <w:r>
        <w:rPr>
          <w:rFonts w:ascii="Arial" w:cs="Arial" w:eastAsia="Arial" w:hAnsi="Arial"/>
          <w:color w:val="444444"/>
          <w:sz w:val="21"/>
          <w:szCs w:val="21"/>
        </w:rPr>
        <w:t xml:space="preserve">No advertising networks, marketing trackers, retargeting pixels, or analytics platforms (such as Google Analytics) are used.</w:t>
      </w:r>
    </w:p>
    <w:p>
      <w:pPr>
        <w:pStyle w:val="Heading2"/>
        <w:spacing w:after="150" w:before="300"/>
      </w:pPr>
      <w:r>
        <w:rPr>
          <w:rFonts w:ascii="Arial" w:cs="Arial" w:eastAsia="Arial" w:hAnsi="Arial"/>
          <w:b/>
          <w:bCs/>
          <w:color w:val="333333"/>
          <w:sz w:val="26"/>
          <w:szCs w:val="26"/>
        </w:rPr>
        <w:t xml:space="preserve">1.7 Cookies</w:t>
      </w:r>
    </w:p>
    <w:p>
      <w:pPr>
        <w:spacing w:after="160"/>
      </w:pPr>
      <w:r>
        <w:rPr>
          <w:rFonts w:ascii="Arial" w:cs="Arial" w:eastAsia="Arial" w:hAnsi="Arial"/>
          <w:color w:val="444444"/>
          <w:sz w:val="21"/>
          <w:szCs w:val="21"/>
        </w:rPr>
        <w:t xml:space="preserve">The Tool does not set any cookies. Session identifiers are stored in browser session storage only and are not cookies.</w:t>
      </w:r>
    </w:p>
    <w:p>
      <w:pPr>
        <w:pStyle w:val="Heading2"/>
        <w:spacing w:after="150" w:before="300"/>
      </w:pPr>
      <w:r>
        <w:rPr>
          <w:rFonts w:ascii="Arial" w:cs="Arial" w:eastAsia="Arial" w:hAnsi="Arial"/>
          <w:b/>
          <w:bCs/>
          <w:color w:val="333333"/>
          <w:sz w:val="26"/>
          <w:szCs w:val="26"/>
        </w:rPr>
        <w:t xml:space="preserve">1.8 Data retention</w:t>
      </w:r>
    </w:p>
    <w:p>
      <w:pPr>
        <w:spacing w:after="160"/>
      </w:pPr>
      <w:r>
        <w:rPr>
          <w:rFonts w:ascii="Arial" w:cs="Arial" w:eastAsia="Arial" w:hAnsi="Arial"/>
          <w:color w:val="444444"/>
          <w:sz w:val="21"/>
          <w:szCs w:val="21"/>
        </w:rPr>
        <w:t xml:space="preserve">Anonymous scenario logs are retained indefinitely for research and model improvement purposes. Because the data is anonymous and cannot be linked back to any individual, deletion requests for anonymous telemetry data cannot be fulfilled (as there is no way to identify which records belong to a specific user). If an optional email feature is introduced, you may request deletion of your email at any time by contacting the author.</w:t>
      </w:r>
    </w:p>
    <w:p>
      <w:pPr>
        <w:pStyle w:val="Heading2"/>
        <w:spacing w:after="150" w:before="300"/>
      </w:pPr>
      <w:r>
        <w:rPr>
          <w:rFonts w:ascii="Arial" w:cs="Arial" w:eastAsia="Arial" w:hAnsi="Arial"/>
          <w:b/>
          <w:bCs/>
          <w:color w:val="333333"/>
          <w:sz w:val="26"/>
          <w:szCs w:val="26"/>
        </w:rPr>
        <w:t xml:space="preserve">1.9 Children</w:t>
      </w:r>
    </w:p>
    <w:p>
      <w:pPr>
        <w:spacing w:after="160"/>
      </w:pPr>
      <w:r>
        <w:rPr>
          <w:rFonts w:ascii="Arial" w:cs="Arial" w:eastAsia="Arial" w:hAnsi="Arial"/>
          <w:color w:val="444444"/>
          <w:sz w:val="21"/>
          <w:szCs w:val="21"/>
        </w:rPr>
        <w:t xml:space="preserve">The Tool is not directed at children under 16. We do not knowingly collect information from children.</w:t>
      </w:r>
    </w:p>
    <w:p>
      <w:pPr>
        <w:pStyle w:val="Heading2"/>
        <w:spacing w:after="150" w:before="300"/>
      </w:pPr>
      <w:r>
        <w:rPr>
          <w:rFonts w:ascii="Arial" w:cs="Arial" w:eastAsia="Arial" w:hAnsi="Arial"/>
          <w:b/>
          <w:bCs/>
          <w:color w:val="333333"/>
          <w:sz w:val="26"/>
          <w:szCs w:val="26"/>
        </w:rPr>
        <w:t xml:space="preserve">1.10 Australian Privacy Act</w:t>
      </w:r>
    </w:p>
    <w:p>
      <w:pPr>
        <w:spacing w:after="160"/>
      </w:pPr>
      <w:r>
        <w:rPr>
          <w:rFonts w:ascii="Arial" w:cs="Arial" w:eastAsia="Arial" w:hAnsi="Arial"/>
          <w:color w:val="444444"/>
          <w:sz w:val="21"/>
          <w:szCs w:val="21"/>
        </w:rPr>
        <w:t xml:space="preserve">As a personal, non-commercial project operated by an individual (not an organisation with an annual turnover above the relevant threshold), the Tool is unlikely to be subject to the Australian Privacy Act 1988 or the Australian Privacy Principles (APPs). However, the author makes no legal determination on this point. Regardless of the Act's applicability, the Tool is designed to collect the minimum data necessary and to handle it responsibly and in the spirit of good privacy practice.</w:t>
      </w:r>
    </w:p>
    <w:p>
      <w:pPr>
        <w:pStyle w:val="Heading2"/>
        <w:spacing w:after="150" w:before="300"/>
      </w:pPr>
      <w:r>
        <w:rPr>
          <w:rFonts w:ascii="Arial" w:cs="Arial" w:eastAsia="Arial" w:hAnsi="Arial"/>
          <w:b/>
          <w:bCs/>
          <w:color w:val="333333"/>
          <w:sz w:val="26"/>
          <w:szCs w:val="26"/>
        </w:rPr>
        <w:t xml:space="preserve">1.11 Changes to this policy</w:t>
      </w:r>
    </w:p>
    <w:p>
      <w:pPr>
        <w:spacing w:after="160"/>
      </w:pPr>
      <w:r>
        <w:rPr>
          <w:rFonts w:ascii="Arial" w:cs="Arial" w:eastAsia="Arial" w:hAnsi="Arial"/>
          <w:color w:val="444444"/>
          <w:sz w:val="21"/>
          <w:szCs w:val="21"/>
        </w:rPr>
        <w:t xml:space="preserve">This policy may be updated from time to time. The "Last updated" date at the top of this document will reflect the most recent revision. Continued use of the Tool after changes constitutes acceptance of the revised policy.</w:t>
      </w:r>
    </w:p>
    <w:p>
      <w:pPr>
        <w:pStyle w:val="Heading2"/>
        <w:spacing w:after="150" w:before="300"/>
      </w:pPr>
      <w:r>
        <w:rPr>
          <w:rFonts w:ascii="Arial" w:cs="Arial" w:eastAsia="Arial" w:hAnsi="Arial"/>
          <w:b/>
          <w:bCs/>
          <w:color w:val="333333"/>
          <w:sz w:val="26"/>
          <w:szCs w:val="26"/>
        </w:rPr>
        <w:t xml:space="preserve">1.12 Contact</w:t>
      </w:r>
    </w:p>
    <w:p>
      <w:pPr>
        <w:spacing w:after="160"/>
      </w:pPr>
      <w:r>
        <w:rPr>
          <w:rFonts w:ascii="Arial" w:cs="Arial" w:eastAsia="Arial" w:hAnsi="Arial"/>
          <w:color w:val="444444"/>
          <w:sz w:val="21"/>
          <w:szCs w:val="21"/>
        </w:rPr>
        <w:t xml:space="preserve">If you have questions about this Privacy Policy, you may contact the author through the channels listed on the Tool's website.</w:t>
      </w:r>
    </w:p>
    <w:p>
      <w:pPr>
        <w:pBdr>
          <w:bottom w:val="single" w:color="1A8A7A" w:sz="6" w:space="1"/>
        </w:pBdr>
        <w:spacing w:after="300" w:before="300"/>
      </w:pPr>
    </w:p>
    <w:p>
      <w:pPr>
        <w:pStyle w:val="Heading1"/>
        <w:spacing w:after="200" w:before="400"/>
      </w:pPr>
      <w:r>
        <w:rPr>
          <w:rFonts w:ascii="Arial" w:cs="Arial" w:eastAsia="Arial" w:hAnsi="Arial"/>
          <w:b/>
          <w:bCs/>
          <w:color w:val="1A1A1A"/>
          <w:sz w:val="32"/>
          <w:szCs w:val="32"/>
        </w:rPr>
        <w:t xml:space="preserve">2. Terms of Use</w:t>
      </w:r>
    </w:p>
    <w:p>
      <w:pPr>
        <w:pStyle w:val="Heading2"/>
        <w:spacing w:after="150" w:before="300"/>
      </w:pPr>
      <w:r>
        <w:rPr>
          <w:rFonts w:ascii="Arial" w:cs="Arial" w:eastAsia="Arial" w:hAnsi="Arial"/>
          <w:b/>
          <w:bCs/>
          <w:color w:val="333333"/>
          <w:sz w:val="26"/>
          <w:szCs w:val="26"/>
        </w:rPr>
        <w:t xml:space="preserve">2.1 Acceptance</w:t>
      </w:r>
    </w:p>
    <w:p>
      <w:pPr>
        <w:spacing w:after="160"/>
      </w:pPr>
      <w:r>
        <w:rPr>
          <w:rFonts w:ascii="Arial" w:cs="Arial" w:eastAsia="Arial" w:hAnsi="Arial"/>
          <w:color w:val="444444"/>
          <w:sz w:val="21"/>
          <w:szCs w:val="21"/>
        </w:rPr>
        <w:t xml:space="preserve">By accessing and using AussiePay Scenario Engine (the "Tool"), you agree to be bound by these Terms of Use. If you do not agree, please do not use the Tool.</w:t>
      </w:r>
    </w:p>
    <w:p>
      <w:pPr>
        <w:pStyle w:val="Heading2"/>
        <w:spacing w:after="150" w:before="300"/>
      </w:pPr>
      <w:r>
        <w:rPr>
          <w:rFonts w:ascii="Arial" w:cs="Arial" w:eastAsia="Arial" w:hAnsi="Arial"/>
          <w:b/>
          <w:bCs/>
          <w:color w:val="333333"/>
          <w:sz w:val="26"/>
          <w:szCs w:val="26"/>
        </w:rPr>
        <w:t xml:space="preserve">2.2 Nature of the Tool</w:t>
      </w:r>
    </w:p>
    <w:p>
      <w:pPr>
        <w:spacing w:after="160"/>
      </w:pPr>
      <w:r>
        <w:rPr>
          <w:rFonts w:ascii="Arial" w:cs="Arial" w:eastAsia="Arial" w:hAnsi="Arial"/>
          <w:color w:val="444444"/>
          <w:sz w:val="21"/>
          <w:szCs w:val="21"/>
        </w:rPr>
        <w:t xml:space="preserve">The Tool is a personal, non-commercial project built for educational and research purposes. It is designed to help users explore scenario-based thinking about forward-looking topics in Australian payments. It is not a product, a service, or a commercial offering. The Tool is provided free of charge. No contract for services exists between the author and any user.</w:t>
      </w:r>
    </w:p>
    <w:p>
      <w:pPr>
        <w:pStyle w:val="Heading2"/>
        <w:spacing w:after="150" w:before="300"/>
      </w:pPr>
      <w:r>
        <w:rPr>
          <w:rFonts w:ascii="Arial" w:cs="Arial" w:eastAsia="Arial" w:hAnsi="Arial"/>
          <w:b/>
          <w:bCs/>
          <w:color w:val="333333"/>
          <w:sz w:val="26"/>
          <w:szCs w:val="26"/>
        </w:rPr>
        <w:t xml:space="preserve">2.3 Not financial, legal, or professional advice</w:t>
      </w:r>
    </w:p>
    <w:p>
      <w:pPr>
        <w:spacing w:after="160"/>
      </w:pPr>
      <w:r>
        <w:rPr>
          <w:rFonts w:ascii="Arial" w:cs="Arial" w:eastAsia="Arial" w:hAnsi="Arial"/>
          <w:color w:val="444444"/>
          <w:sz w:val="21"/>
          <w:szCs w:val="21"/>
        </w:rPr>
        <w:t xml:space="preserve">Nothing in the Tool constitutes financial advice, investment advice, legal advice, tax advice, accounting advice, regulatory guidance, or professional consulting of any kind. The scenario outputs, AI-generated strategic briefs, and all other content are hypothetical explorations based on publicly available data and AI inference. They should not be relied upon for any business, investment, regulatory, commercial, or personal financial decision. If you require professional advice, consult a qualified and licensed professional.</w:t>
      </w:r>
    </w:p>
    <w:p>
      <w:pPr>
        <w:pStyle w:val="Heading2"/>
        <w:spacing w:after="150" w:before="300"/>
      </w:pPr>
      <w:r>
        <w:rPr>
          <w:rFonts w:ascii="Arial" w:cs="Arial" w:eastAsia="Arial" w:hAnsi="Arial"/>
          <w:b/>
          <w:bCs/>
          <w:color w:val="333333"/>
          <w:sz w:val="26"/>
          <w:szCs w:val="26"/>
        </w:rPr>
        <w:t xml:space="preserve">2.4 Personal project, built independently</w:t>
      </w:r>
    </w:p>
    <w:p>
      <w:pPr>
        <w:spacing w:after="160"/>
      </w:pPr>
      <w:r>
        <w:rPr>
          <w:rFonts w:ascii="Arial" w:cs="Arial" w:eastAsia="Arial" w:hAnsi="Arial"/>
          <w:color w:val="444444"/>
          <w:sz w:val="21"/>
          <w:szCs w:val="21"/>
        </w:rPr>
        <w:t xml:space="preserve">This Tool was developed entirely in the author's personal capacity, on personal time, using personal equipment and resources. No proprietary, confidential, commercially sensitive, or non-public information from any employer (past or present), client, or third party has been used in its development, calibration, or operation. All data sources are publicly available and cited within the Tool. All analytical framing, scenario models, variable selections, and commentary represent the author's personal opinions informed solely by publicly available information. The author's professional experience informs the selection and framing of topics, but no non-public data, internal analysis, client information, or employer intellectual property has been incorporated into the Tool.</w:t>
      </w:r>
    </w:p>
    <w:p>
      <w:pPr>
        <w:pStyle w:val="Heading2"/>
        <w:spacing w:after="150" w:before="300"/>
      </w:pPr>
      <w:r>
        <w:rPr>
          <w:rFonts w:ascii="Arial" w:cs="Arial" w:eastAsia="Arial" w:hAnsi="Arial"/>
          <w:b/>
          <w:bCs/>
          <w:color w:val="333333"/>
          <w:sz w:val="26"/>
          <w:szCs w:val="26"/>
        </w:rPr>
        <w:t xml:space="preserve">2.5 No affiliation or endorsement</w:t>
      </w:r>
    </w:p>
    <w:p>
      <w:pPr>
        <w:spacing w:after="160"/>
      </w:pPr>
      <w:r>
        <w:rPr>
          <w:rFonts w:ascii="Arial" w:cs="Arial" w:eastAsia="Arial" w:hAnsi="Arial"/>
          <w:color w:val="444444"/>
          <w:sz w:val="21"/>
          <w:szCs w:val="21"/>
        </w:rPr>
        <w:t xml:space="preserve">The Tool is not affiliated with, endorsed by, sponsored by, or representative of any employer (past or present), company, card network, payment scheme, financial institution, acquirer, payment service provider, regulator, industry body, or any other organisation. No organisation has authorised, reviewed, approved, or had any input into the Tool or its content. Reference to any organisation within the Tool is for educational context only and does not imply any relationship, endorsement, approval, or access to non-public information. No organisation referenced in the Tool has any involvement in, responsibility for, or control over the Tool or its content.</w:t>
      </w:r>
    </w:p>
    <w:p>
      <w:pPr>
        <w:pStyle w:val="Heading2"/>
        <w:spacing w:after="150" w:before="300"/>
      </w:pPr>
      <w:r>
        <w:rPr>
          <w:rFonts w:ascii="Arial" w:cs="Arial" w:eastAsia="Arial" w:hAnsi="Arial"/>
          <w:b/>
          <w:bCs/>
          <w:color w:val="333333"/>
          <w:sz w:val="26"/>
          <w:szCs w:val="26"/>
        </w:rPr>
        <w:t xml:space="preserve">2.6 Data sources and limitations</w:t>
      </w:r>
    </w:p>
    <w:p>
      <w:pPr>
        <w:spacing w:after="160"/>
      </w:pPr>
      <w:r>
        <w:rPr>
          <w:rFonts w:ascii="Arial" w:cs="Arial" w:eastAsia="Arial" w:hAnsi="Arial"/>
          <w:color w:val="444444"/>
          <w:sz w:val="21"/>
          <w:szCs w:val="21"/>
        </w:rPr>
        <w:t xml:space="preserve">The Tool uses publicly available data from sources including (but not limited to) the Reserve Bank of Australia, Australian Payments Network, the European Commission, the Bank for International Settlements, and published industry submissions. While reasonable effort is made to ensure accuracy, no guarantee is made that any data point is current, complete, or error-free. Data may be outdated, selectively presented, simplified for scenario modelling purposes, or presented without the full context available in the original source. Users should consult original sources directly for complete and authoritative information.</w:t>
      </w:r>
    </w:p>
    <w:p>
      <w:pPr>
        <w:pStyle w:val="Heading2"/>
        <w:spacing w:after="150" w:before="300"/>
      </w:pPr>
      <w:r>
        <w:rPr>
          <w:rFonts w:ascii="Arial" w:cs="Arial" w:eastAsia="Arial" w:hAnsi="Arial"/>
          <w:b/>
          <w:bCs/>
          <w:color w:val="333333"/>
          <w:sz w:val="26"/>
          <w:szCs w:val="26"/>
        </w:rPr>
        <w:t xml:space="preserve">2.7 AI-generated content</w:t>
      </w:r>
    </w:p>
    <w:p>
      <w:pPr>
        <w:spacing w:after="160"/>
      </w:pPr>
      <w:r>
        <w:rPr>
          <w:rFonts w:ascii="Arial" w:cs="Arial" w:eastAsia="Arial" w:hAnsi="Arial"/>
          <w:color w:val="444444"/>
          <w:sz w:val="21"/>
          <w:szCs w:val="21"/>
        </w:rPr>
        <w:t xml:space="preserve">Strategic briefs and certain analytical outputs are generated by artificial intelligence (currently the Grok API by xAI). AI-generated content is clearly labelled within the Tool. AI-generated strategic briefs are hypothetical outputs produced by a third-party AI model. They are not verified, validated, or endorsed by the author. They may be factually incorrect, commercially misleading, internally inconsistent, or entirely fabricated. AI models may produce plausible-sounding analysis that has no basis in reality (commonly known as "hallucinations"). No user should act on AI-generated content without independent professional verification.</w:t>
      </w:r>
    </w:p>
    <w:p>
      <w:pPr>
        <w:pStyle w:val="Heading2"/>
        <w:spacing w:after="150" w:before="300"/>
      </w:pPr>
      <w:r>
        <w:rPr>
          <w:rFonts w:ascii="Arial" w:cs="Arial" w:eastAsia="Arial" w:hAnsi="Arial"/>
          <w:b/>
          <w:bCs/>
          <w:color w:val="333333"/>
          <w:sz w:val="26"/>
          <w:szCs w:val="26"/>
        </w:rPr>
        <w:t xml:space="preserve">2.8 No warranty</w:t>
      </w:r>
    </w:p>
    <w:p>
      <w:pPr>
        <w:spacing w:after="160"/>
      </w:pPr>
      <w:r>
        <w:rPr>
          <w:rFonts w:ascii="Arial" w:cs="Arial" w:eastAsia="Arial" w:hAnsi="Arial"/>
          <w:color w:val="444444"/>
          <w:sz w:val="21"/>
          <w:szCs w:val="21"/>
        </w:rPr>
        <w:t xml:space="preserve">The Tool is provided "as is" and "as available" without warranties of any kind, whether express or implied, including but not limited to implied warranties of merchantability, fitness for a particular purpose, accuracy, reliability, or non-infringement. The author does not warrant that the Tool will be uninterrupted, error-free, secure, or free of harmful components.</w:t>
      </w:r>
    </w:p>
    <w:p>
      <w:pPr>
        <w:pStyle w:val="Heading2"/>
        <w:spacing w:after="150" w:before="300"/>
      </w:pPr>
      <w:r>
        <w:rPr>
          <w:rFonts w:ascii="Arial" w:cs="Arial" w:eastAsia="Arial" w:hAnsi="Arial"/>
          <w:b/>
          <w:bCs/>
          <w:color w:val="333333"/>
          <w:sz w:val="26"/>
          <w:szCs w:val="26"/>
        </w:rPr>
        <w:t xml:space="preserve">2.9 Limitation of liability</w:t>
      </w:r>
    </w:p>
    <w:p>
      <w:pPr>
        <w:spacing w:after="160"/>
      </w:pPr>
      <w:r>
        <w:rPr>
          <w:rFonts w:ascii="Arial" w:cs="Arial" w:eastAsia="Arial" w:hAnsi="Arial"/>
          <w:color w:val="444444"/>
          <w:sz w:val="21"/>
          <w:szCs w:val="21"/>
        </w:rPr>
        <w:t xml:space="preserve">To the maximum extent permitted by applicable law, the author shall not be liable for any direct, indirect, incidental, special, consequential, or punitive damages arising from your use of, or inability to use, the Tool. This includes but is not limited to damages for loss of profits, revenue, data, goodwill, business opportunity, or other intangible losses, even if the author has been advised of the possibility of such damages. This limitation applies whether the claim is based in contract, tort (including negligence), strict liability, or any other legal theory.</w:t>
      </w:r>
    </w:p>
    <w:p>
      <w:pPr>
        <w:pStyle w:val="Heading2"/>
        <w:spacing w:after="150" w:before="300"/>
      </w:pPr>
      <w:r>
        <w:rPr>
          <w:rFonts w:ascii="Arial" w:cs="Arial" w:eastAsia="Arial" w:hAnsi="Arial"/>
          <w:b/>
          <w:bCs/>
          <w:color w:val="333333"/>
          <w:sz w:val="26"/>
          <w:szCs w:val="26"/>
        </w:rPr>
        <w:t xml:space="preserve">2.10 Australian Consumer Law</w:t>
      </w:r>
    </w:p>
    <w:p>
      <w:pPr>
        <w:spacing w:after="160"/>
      </w:pPr>
      <w:r>
        <w:rPr>
          <w:rFonts w:ascii="Arial" w:cs="Arial" w:eastAsia="Arial" w:hAnsi="Arial"/>
          <w:color w:val="444444"/>
          <w:sz w:val="21"/>
          <w:szCs w:val="21"/>
        </w:rPr>
        <w:t xml:space="preserve">The Tool is provided free of charge as a personal educational project. No goods or services are being sold or supplied in trade or commerce. To the extent that the Australian Consumer Law (Schedule 2 of the Competition and Consumer Act 2010) applies, nothing in these Terms is intended to exclude, restrict, or modify any consumer guarantee or right that cannot be excluded under that law. However, the author's liability for any breach of a non-excludable consumer guarantee is limited, to the maximum extent permitted by law, to the re-supply of the relevant service or the payment of the cost of having the service re-supplied.</w:t>
      </w:r>
    </w:p>
    <w:p>
      <w:pPr>
        <w:pStyle w:val="Heading2"/>
        <w:spacing w:after="150" w:before="300"/>
      </w:pPr>
      <w:r>
        <w:rPr>
          <w:rFonts w:ascii="Arial" w:cs="Arial" w:eastAsia="Arial" w:hAnsi="Arial"/>
          <w:b/>
          <w:bCs/>
          <w:color w:val="333333"/>
          <w:sz w:val="26"/>
          <w:szCs w:val="26"/>
        </w:rPr>
        <w:t xml:space="preserve">2.11 Indemnification</w:t>
      </w:r>
    </w:p>
    <w:p>
      <w:pPr>
        <w:spacing w:after="160"/>
      </w:pPr>
      <w:r>
        <w:rPr>
          <w:rFonts w:ascii="Arial" w:cs="Arial" w:eastAsia="Arial" w:hAnsi="Arial"/>
          <w:color w:val="444444"/>
          <w:sz w:val="21"/>
          <w:szCs w:val="21"/>
        </w:rPr>
        <w:t xml:space="preserve">You agree to indemnify, defend, and hold harmless the author from and against any and all claims, demands, damages, losses, liabilities, costs, and expenses (including reasonable legal fees) arising from or related to your use of the Tool, your reliance on its content, your violation of these Terms of Use, or your violation of any rights of a third party.</w:t>
      </w:r>
    </w:p>
    <w:p>
      <w:pPr>
        <w:pStyle w:val="Heading2"/>
        <w:spacing w:after="150" w:before="300"/>
      </w:pPr>
      <w:r>
        <w:rPr>
          <w:rFonts w:ascii="Arial" w:cs="Arial" w:eastAsia="Arial" w:hAnsi="Arial"/>
          <w:b/>
          <w:bCs/>
          <w:color w:val="333333"/>
          <w:sz w:val="26"/>
          <w:szCs w:val="26"/>
        </w:rPr>
        <w:t xml:space="preserve">2.12 Intellectual property</w:t>
      </w:r>
    </w:p>
    <w:p>
      <w:pPr>
        <w:spacing w:after="160"/>
      </w:pPr>
      <w:r>
        <w:rPr>
          <w:rFonts w:ascii="Arial" w:cs="Arial" w:eastAsia="Arial" w:hAnsi="Arial"/>
          <w:color w:val="444444"/>
          <w:sz w:val="21"/>
          <w:szCs w:val="21"/>
        </w:rPr>
        <w:t xml:space="preserve">The Tool's design, code, scenario models, and original content are the intellectual property of the author. You may use the Tool for personal and educational purposes. You may not reproduce, redistribute, reverse-engineer, or commercially exploit the Tool or its outputs without the author's prior written permission. Data sourced from third parties (including the RBA, AusPayNet, EU Commission, BIS, and others) remains the property of those respective organisations and is used under fair dealing for research and education.</w:t>
      </w:r>
    </w:p>
    <w:p>
      <w:pPr>
        <w:pStyle w:val="Heading2"/>
        <w:spacing w:after="150" w:before="300"/>
      </w:pPr>
      <w:r>
        <w:rPr>
          <w:rFonts w:ascii="Arial" w:cs="Arial" w:eastAsia="Arial" w:hAnsi="Arial"/>
          <w:b/>
          <w:bCs/>
          <w:color w:val="333333"/>
          <w:sz w:val="26"/>
          <w:szCs w:val="26"/>
        </w:rPr>
        <w:t xml:space="preserve">2.13 Acceptable use</w:t>
      </w:r>
    </w:p>
    <w:p>
      <w:pPr>
        <w:spacing w:after="160"/>
      </w:pPr>
      <w:r>
        <w:rPr>
          <w:rFonts w:ascii="Arial" w:cs="Arial" w:eastAsia="Arial" w:hAnsi="Arial"/>
          <w:color w:val="444444"/>
          <w:sz w:val="21"/>
          <w:szCs w:val="21"/>
        </w:rPr>
        <w:t xml:space="preserve">You agree not to: use the Tool for any unlawful purpose; misrepresent AI-generated content as verified professional, financial, or legal advice; present the Tool's outputs as the views, analysis, or endorsed position of any organisation; present AI-generated outputs as your own original analysis without attribution to the Tool; attempt to extract, scrape, or systematically download data from the Tool; interfere with the Tool's operation, security, or infrastructure; use the Tool in any way that could damage the author's reputation or the reputation of any referenced organisation; or attempt to identify, de-anonymise, or reconstruct the identity of other users from any published aggregated data.</w:t>
      </w:r>
    </w:p>
    <w:p>
      <w:pPr>
        <w:pStyle w:val="Heading2"/>
        <w:spacing w:after="150" w:before="300"/>
      </w:pPr>
      <w:r>
        <w:rPr>
          <w:rFonts w:ascii="Arial" w:cs="Arial" w:eastAsia="Arial" w:hAnsi="Arial"/>
          <w:b/>
          <w:bCs/>
          <w:color w:val="333333"/>
          <w:sz w:val="26"/>
          <w:szCs w:val="26"/>
        </w:rPr>
        <w:t xml:space="preserve">2.14 Availability and modification</w:t>
      </w:r>
    </w:p>
    <w:p>
      <w:pPr>
        <w:spacing w:after="160"/>
      </w:pPr>
      <w:r>
        <w:rPr>
          <w:rFonts w:ascii="Arial" w:cs="Arial" w:eastAsia="Arial" w:hAnsi="Arial"/>
          <w:color w:val="444444"/>
          <w:sz w:val="21"/>
          <w:szCs w:val="21"/>
        </w:rPr>
        <w:t xml:space="preserve">The Tool is a personal project and may be modified, updated, suspended, or discontinued at any time without notice. The author is under no obligation to maintain, update, support, or continue operating the Tool. Features, data, and scenario models may change without warning.</w:t>
      </w:r>
    </w:p>
    <w:p>
      <w:pPr>
        <w:pStyle w:val="Heading2"/>
        <w:spacing w:after="150" w:before="300"/>
      </w:pPr>
      <w:r>
        <w:rPr>
          <w:rFonts w:ascii="Arial" w:cs="Arial" w:eastAsia="Arial" w:hAnsi="Arial"/>
          <w:b/>
          <w:bCs/>
          <w:color w:val="333333"/>
          <w:sz w:val="26"/>
          <w:szCs w:val="26"/>
        </w:rPr>
        <w:t xml:space="preserve">2.15 Dispute resolution</w:t>
      </w:r>
    </w:p>
    <w:p>
      <w:pPr>
        <w:spacing w:after="160"/>
      </w:pPr>
      <w:r>
        <w:rPr>
          <w:rFonts w:ascii="Arial" w:cs="Arial" w:eastAsia="Arial" w:hAnsi="Arial"/>
          <w:color w:val="444444"/>
          <w:sz w:val="21"/>
          <w:szCs w:val="21"/>
        </w:rPr>
        <w:t xml:space="preserve">Before initiating any legal proceedings relating to the Tool, you agree to contact the author in writing to attempt to resolve any dispute informally. Both parties will make reasonable efforts to resolve the dispute within 30 days of such notice.</w:t>
      </w:r>
    </w:p>
    <w:p>
      <w:pPr>
        <w:pStyle w:val="Heading2"/>
        <w:spacing w:after="150" w:before="300"/>
      </w:pPr>
      <w:r>
        <w:rPr>
          <w:rFonts w:ascii="Arial" w:cs="Arial" w:eastAsia="Arial" w:hAnsi="Arial"/>
          <w:b/>
          <w:bCs/>
          <w:color w:val="333333"/>
          <w:sz w:val="26"/>
          <w:szCs w:val="26"/>
        </w:rPr>
        <w:t xml:space="preserve">2.16 Governing law and jurisdiction</w:t>
      </w:r>
    </w:p>
    <w:p>
      <w:pPr>
        <w:spacing w:after="160"/>
      </w:pPr>
      <w:r>
        <w:rPr>
          <w:rFonts w:ascii="Arial" w:cs="Arial" w:eastAsia="Arial" w:hAnsi="Arial"/>
          <w:color w:val="444444"/>
          <w:sz w:val="21"/>
          <w:szCs w:val="21"/>
        </w:rPr>
        <w:t xml:space="preserve">These Terms of Use are governed by and construed in accordance with the laws of the State of Victoria, Australia. Subject to the informal resolution process in section 2.15, any disputes arising from the use of the Tool shall be subject to the exclusive jurisdiction of the courts of Victoria, Australia.</w:t>
      </w:r>
    </w:p>
    <w:p>
      <w:pPr>
        <w:pStyle w:val="Heading2"/>
        <w:spacing w:after="150" w:before="300"/>
      </w:pPr>
      <w:r>
        <w:rPr>
          <w:rFonts w:ascii="Arial" w:cs="Arial" w:eastAsia="Arial" w:hAnsi="Arial"/>
          <w:b/>
          <w:bCs/>
          <w:color w:val="333333"/>
          <w:sz w:val="26"/>
          <w:szCs w:val="26"/>
        </w:rPr>
        <w:t xml:space="preserve">2.17 Severability</w:t>
      </w:r>
    </w:p>
    <w:p>
      <w:pPr>
        <w:spacing w:after="160"/>
      </w:pPr>
      <w:r>
        <w:rPr>
          <w:rFonts w:ascii="Arial" w:cs="Arial" w:eastAsia="Arial" w:hAnsi="Arial"/>
          <w:color w:val="444444"/>
          <w:sz w:val="21"/>
          <w:szCs w:val="21"/>
        </w:rPr>
        <w:t xml:space="preserve">If any provision of these Terms is found to be invalid, illegal, or unenforceable by a court of competent jurisdiction, the remaining provisions shall continue in full force and effect. The invalid provision shall be modified to the minimum extent necessary to make it valid and enforceable while preserving its original intent.</w:t>
      </w:r>
    </w:p>
    <w:p>
      <w:pPr>
        <w:pStyle w:val="Heading2"/>
        <w:spacing w:after="150" w:before="300"/>
      </w:pPr>
      <w:r>
        <w:rPr>
          <w:rFonts w:ascii="Arial" w:cs="Arial" w:eastAsia="Arial" w:hAnsi="Arial"/>
          <w:b/>
          <w:bCs/>
          <w:color w:val="333333"/>
          <w:sz w:val="26"/>
          <w:szCs w:val="26"/>
        </w:rPr>
        <w:t xml:space="preserve">2.18 Entire agreement</w:t>
      </w:r>
    </w:p>
    <w:p>
      <w:pPr>
        <w:spacing w:after="160"/>
      </w:pPr>
      <w:r>
        <w:rPr>
          <w:rFonts w:ascii="Arial" w:cs="Arial" w:eastAsia="Arial" w:hAnsi="Arial"/>
          <w:color w:val="444444"/>
          <w:sz w:val="21"/>
          <w:szCs w:val="21"/>
        </w:rPr>
        <w:t xml:space="preserve">These Terms of Use, together with the Privacy Policy and Disclaimer, constitute the entire agreement between you and the author regarding your use of the Tool and supersede all prior or contemporaneous communications, proposals, and representations with respect to the Tool.</w:t>
      </w:r>
    </w:p>
    <w:p>
      <w:pPr>
        <w:pStyle w:val="Heading2"/>
        <w:spacing w:after="150" w:before="300"/>
      </w:pPr>
      <w:r>
        <w:rPr>
          <w:rFonts w:ascii="Arial" w:cs="Arial" w:eastAsia="Arial" w:hAnsi="Arial"/>
          <w:b/>
          <w:bCs/>
          <w:color w:val="333333"/>
          <w:sz w:val="26"/>
          <w:szCs w:val="26"/>
        </w:rPr>
        <w:t xml:space="preserve">2.19 Changes to these terms</w:t>
      </w:r>
    </w:p>
    <w:p>
      <w:pPr>
        <w:spacing w:after="160"/>
      </w:pPr>
      <w:r>
        <w:rPr>
          <w:rFonts w:ascii="Arial" w:cs="Arial" w:eastAsia="Arial" w:hAnsi="Arial"/>
          <w:color w:val="444444"/>
          <w:sz w:val="21"/>
          <w:szCs w:val="21"/>
        </w:rPr>
        <w:t xml:space="preserve">These Terms may be updated from time to time. The "Last updated" date will reflect the most recent revision. Continued use of the Tool after changes constitutes acceptance of the revised Terms.</w:t>
      </w:r>
    </w:p>
    <w:p>
      <w:pPr>
        <w:pBdr>
          <w:bottom w:val="single" w:color="1A8A7A" w:sz="6" w:space="1"/>
        </w:pBdr>
        <w:spacing w:after="300" w:before="300"/>
      </w:pPr>
    </w:p>
    <w:p>
      <w:pPr>
        <w:pStyle w:val="Heading1"/>
        <w:spacing w:after="200" w:before="400"/>
      </w:pPr>
      <w:r>
        <w:rPr>
          <w:rFonts w:ascii="Arial" w:cs="Arial" w:eastAsia="Arial" w:hAnsi="Arial"/>
          <w:b/>
          <w:bCs/>
          <w:color w:val="1A1A1A"/>
          <w:sz w:val="32"/>
          <w:szCs w:val="32"/>
        </w:rPr>
        <w:t xml:space="preserve">3. Disclaimer</w:t>
      </w:r>
    </w:p>
    <w:p>
      <w:pPr>
        <w:pStyle w:val="Heading2"/>
        <w:spacing w:after="150" w:before="300"/>
      </w:pPr>
      <w:r>
        <w:rPr>
          <w:rFonts w:ascii="Arial" w:cs="Arial" w:eastAsia="Arial" w:hAnsi="Arial"/>
          <w:b/>
          <w:bCs/>
          <w:color w:val="333333"/>
          <w:sz w:val="26"/>
          <w:szCs w:val="26"/>
        </w:rPr>
        <w:t xml:space="preserve">3.1 Educational purpose only</w:t>
      </w:r>
    </w:p>
    <w:p>
      <w:pPr>
        <w:spacing w:after="160"/>
      </w:pPr>
      <w:r>
        <w:rPr>
          <w:rFonts w:ascii="Arial" w:cs="Arial" w:eastAsia="Arial" w:hAnsi="Arial"/>
          <w:color w:val="444444"/>
          <w:sz w:val="21"/>
          <w:szCs w:val="21"/>
        </w:rPr>
        <w:t xml:space="preserve">AussiePay Scenario Engine is a personal educational project. It is designed to facilitate scenario-based thinking and strategic exploration of topics in Australian payments. It is not a commercial product, advisory service, consulting engagement, or decision-making tool.</w:t>
      </w:r>
    </w:p>
    <w:p>
      <w:pPr>
        <w:pStyle w:val="Heading2"/>
        <w:spacing w:after="150" w:before="300"/>
      </w:pPr>
      <w:r>
        <w:rPr>
          <w:rFonts w:ascii="Arial" w:cs="Arial" w:eastAsia="Arial" w:hAnsi="Arial"/>
          <w:b/>
          <w:bCs/>
          <w:color w:val="333333"/>
          <w:sz w:val="26"/>
          <w:szCs w:val="26"/>
        </w:rPr>
        <w:t xml:space="preserve">3.2 No professional advice</w:t>
      </w:r>
    </w:p>
    <w:p>
      <w:pPr>
        <w:spacing w:after="160"/>
      </w:pPr>
      <w:r>
        <w:rPr>
          <w:rFonts w:ascii="Arial" w:cs="Arial" w:eastAsia="Arial" w:hAnsi="Arial"/>
          <w:color w:val="444444"/>
          <w:sz w:val="21"/>
          <w:szCs w:val="21"/>
        </w:rPr>
        <w:t xml:space="preserve">The content, scenarios, models, and AI-generated outputs provided by the Tool do not constitute financial, investment, legal, regulatory, tax, accounting, or any other form of professional advice. Users should not make any business, investment, regulatory, or personal financial decision based on information provided by the Tool without first seeking independent advice from a qualified and licensed professional.</w:t>
      </w:r>
    </w:p>
    <w:p>
      <w:pPr>
        <w:pStyle w:val="Heading2"/>
        <w:spacing w:after="150" w:before="300"/>
      </w:pPr>
      <w:r>
        <w:rPr>
          <w:rFonts w:ascii="Arial" w:cs="Arial" w:eastAsia="Arial" w:hAnsi="Arial"/>
          <w:b/>
          <w:bCs/>
          <w:color w:val="333333"/>
          <w:sz w:val="26"/>
          <w:szCs w:val="26"/>
        </w:rPr>
        <w:t xml:space="preserve">3.3 AI limitations</w:t>
      </w:r>
    </w:p>
    <w:p>
      <w:pPr>
        <w:spacing w:after="160"/>
      </w:pPr>
      <w:r>
        <w:rPr>
          <w:rFonts w:ascii="Arial" w:cs="Arial" w:eastAsia="Arial" w:hAnsi="Arial"/>
          <w:color w:val="444444"/>
          <w:sz w:val="21"/>
          <w:szCs w:val="21"/>
        </w:rPr>
        <w:t xml:space="preserve">AI-generated strategic briefs are produced by large language models that may generate plausible but incorrect information (commonly known as "hallucinations"). The AI model may produce outputs that are factually wrong, internally contradictory, commercially misleading, based on outdated information, or entirely fabricated. The author does not verify, validate, or endorse every AI-generated output. Users are solely responsible for independently verifying any information before relying on it for any purpose.</w:t>
      </w:r>
    </w:p>
    <w:p>
      <w:pPr>
        <w:pStyle w:val="Heading2"/>
        <w:spacing w:after="150" w:before="300"/>
      </w:pPr>
      <w:r>
        <w:rPr>
          <w:rFonts w:ascii="Arial" w:cs="Arial" w:eastAsia="Arial" w:hAnsi="Arial"/>
          <w:b/>
          <w:bCs/>
          <w:color w:val="333333"/>
          <w:sz w:val="26"/>
          <w:szCs w:val="26"/>
        </w:rPr>
        <w:t xml:space="preserve">3.4 Data accuracy</w:t>
      </w:r>
    </w:p>
    <w:p>
      <w:pPr>
        <w:spacing w:after="160"/>
      </w:pPr>
      <w:r>
        <w:rPr>
          <w:rFonts w:ascii="Arial" w:cs="Arial" w:eastAsia="Arial" w:hAnsi="Arial"/>
          <w:color w:val="444444"/>
          <w:sz w:val="21"/>
          <w:szCs w:val="21"/>
        </w:rPr>
        <w:t xml:space="preserve">While the Tool references publicly available data from reputable sources, no representation or warranty is made regarding the accuracy, completeness, timeliness, reliability, or fitness for purpose of any data displayed. Data may be outdated, may reflect historical rather than current conditions, may have been simplified or selectively presented for scenario modelling purposes, and may contain errors or omissions. Users should consult original sources directly for complete and authoritative information.</w:t>
      </w:r>
    </w:p>
    <w:p>
      <w:pPr>
        <w:pStyle w:val="Heading2"/>
        <w:spacing w:after="150" w:before="300"/>
      </w:pPr>
      <w:r>
        <w:rPr>
          <w:rFonts w:ascii="Arial" w:cs="Arial" w:eastAsia="Arial" w:hAnsi="Arial"/>
          <w:b/>
          <w:bCs/>
          <w:color w:val="333333"/>
          <w:sz w:val="26"/>
          <w:szCs w:val="26"/>
        </w:rPr>
        <w:t xml:space="preserve">3.5 No endorsement or affiliation</w:t>
      </w:r>
    </w:p>
    <w:p>
      <w:pPr>
        <w:spacing w:after="160"/>
      </w:pPr>
      <w:r>
        <w:rPr>
          <w:rFonts w:ascii="Arial" w:cs="Arial" w:eastAsia="Arial" w:hAnsi="Arial"/>
          <w:color w:val="444444"/>
          <w:sz w:val="21"/>
          <w:szCs w:val="21"/>
        </w:rPr>
        <w:t xml:space="preserve">Reference to any organisation, product, service, regulation, standard, or individual within the Tool is for educational context only and does not constitute an endorsement, recommendation, or affiliation. No organisation referenced in the Tool has any involvement in, endorsement of, or responsibility for the Tool, its content, or its outputs.</w:t>
      </w:r>
    </w:p>
    <w:p>
      <w:pPr>
        <w:pStyle w:val="Heading2"/>
        <w:spacing w:after="150" w:before="300"/>
      </w:pPr>
      <w:r>
        <w:rPr>
          <w:rFonts w:ascii="Arial" w:cs="Arial" w:eastAsia="Arial" w:hAnsi="Arial"/>
          <w:b/>
          <w:bCs/>
          <w:color w:val="333333"/>
          <w:sz w:val="26"/>
          <w:szCs w:val="26"/>
        </w:rPr>
        <w:t xml:space="preserve">3.6 Personal views</w:t>
      </w:r>
    </w:p>
    <w:p>
      <w:pPr>
        <w:spacing w:after="160"/>
      </w:pPr>
      <w:r>
        <w:rPr>
          <w:rFonts w:ascii="Arial" w:cs="Arial" w:eastAsia="Arial" w:hAnsi="Arial"/>
          <w:color w:val="444444"/>
          <w:sz w:val="21"/>
          <w:szCs w:val="21"/>
        </w:rPr>
        <w:t xml:space="preserve">All analysis, commentary, scenario framing, and opinions expressed through the Tool are the personal views of the author only. They do not represent, reflect, or imply the views, policies, strategies, positions, or endorsement of any employer (past or present), client, card network, payment scheme, financial institution, regulator, industry body, or any other organisation.</w:t>
      </w:r>
    </w:p>
    <w:p>
      <w:pPr>
        <w:pStyle w:val="Heading2"/>
        <w:spacing w:after="150" w:before="300"/>
      </w:pPr>
      <w:r>
        <w:rPr>
          <w:rFonts w:ascii="Arial" w:cs="Arial" w:eastAsia="Arial" w:hAnsi="Arial"/>
          <w:b/>
          <w:bCs/>
          <w:color w:val="333333"/>
          <w:sz w:val="26"/>
          <w:szCs w:val="26"/>
        </w:rPr>
        <w:t xml:space="preserve">3.7 No proprietary information</w:t>
      </w:r>
    </w:p>
    <w:p>
      <w:pPr>
        <w:spacing w:after="160"/>
      </w:pPr>
      <w:r>
        <w:rPr>
          <w:rFonts w:ascii="Arial" w:cs="Arial" w:eastAsia="Arial" w:hAnsi="Arial"/>
          <w:color w:val="444444"/>
          <w:sz w:val="21"/>
          <w:szCs w:val="21"/>
        </w:rPr>
        <w:t xml:space="preserve">This Tool was developed using only publicly available data sources. No proprietary, confidential, commercially sensitive, or non-public information from any employer (past or present), client, or third party has been used in the development, calibration, or operation of the Tool or its scenario models. No employer intellectual property, internal analysis, client data, or trade secrets have been incorporated. All data sources are publicly available and cited within the Tool.</w:t>
      </w:r>
    </w:p>
    <w:p>
      <w:pPr>
        <w:pStyle w:val="Heading2"/>
        <w:spacing w:after="150" w:before="300"/>
      </w:pPr>
      <w:r>
        <w:rPr>
          <w:rFonts w:ascii="Arial" w:cs="Arial" w:eastAsia="Arial" w:hAnsi="Arial"/>
          <w:b/>
          <w:bCs/>
          <w:color w:val="333333"/>
          <w:sz w:val="26"/>
          <w:szCs w:val="26"/>
        </w:rPr>
        <w:t xml:space="preserve">3.8 Use at your own risk</w:t>
      </w:r>
    </w:p>
    <w:p>
      <w:pPr>
        <w:spacing w:after="160"/>
      </w:pPr>
      <w:r>
        <w:rPr>
          <w:rFonts w:ascii="Arial" w:cs="Arial" w:eastAsia="Arial" w:hAnsi="Arial"/>
          <w:color w:val="444444"/>
          <w:sz w:val="21"/>
          <w:szCs w:val="21"/>
        </w:rPr>
        <w:t xml:space="preserve">Your use of the Tool is entirely at your own risk. The author accepts no responsibility or liability for any loss, damage, cost, expense, or consequence of any kind arising directly or indirectly from your use of the Tool, your reliance on its content, or any action or decision taken on the basis of information provided by the Tool.</w:t>
      </w:r>
    </w:p>
    <w:p>
      <w:pPr>
        <w:pStyle w:val="Heading2"/>
        <w:spacing w:after="150" w:before="300"/>
      </w:pPr>
      <w:r>
        <w:rPr>
          <w:rFonts w:ascii="Arial" w:cs="Arial" w:eastAsia="Arial" w:hAnsi="Arial"/>
          <w:b/>
          <w:bCs/>
          <w:color w:val="333333"/>
          <w:sz w:val="26"/>
          <w:szCs w:val="26"/>
        </w:rPr>
        <w:t xml:space="preserve">3.9 Regulatory context</w:t>
      </w:r>
    </w:p>
    <w:p>
      <w:pPr>
        <w:spacing w:after="160"/>
      </w:pPr>
      <w:r>
        <w:rPr>
          <w:rFonts w:ascii="Arial" w:cs="Arial" w:eastAsia="Arial" w:hAnsi="Arial"/>
          <w:color w:val="444444"/>
          <w:sz w:val="21"/>
          <w:szCs w:val="21"/>
        </w:rPr>
        <w:t xml:space="preserve">The Tool discusses regulatory topics including (but not limited to) RBA policy, ACCC proceedings, PSRA amendments, interchange regulation, and payments system reform. All regulatory references are based on publicly available documents and are presented for educational context only. The Tool does not interpret regulation on behalf of any party, does not provide regulatory advice, and should not be used as a substitute for professional regulatory or legal counsel. Regulatory positions described in the Tool may be simplified, incomplete, or outdated.</w:t>
      </w:r>
    </w:p>
    <w:p>
      <w:pPr>
        <w:pStyle w:val="Heading2"/>
        <w:spacing w:after="150" w:before="300"/>
      </w:pPr>
      <w:r>
        <w:rPr>
          <w:rFonts w:ascii="Arial" w:cs="Arial" w:eastAsia="Arial" w:hAnsi="Arial"/>
          <w:b/>
          <w:bCs/>
          <w:color w:val="333333"/>
          <w:sz w:val="26"/>
          <w:szCs w:val="26"/>
        </w:rPr>
        <w:t xml:space="preserve">3.10 Forward-looking statements</w:t>
      </w:r>
    </w:p>
    <w:p>
      <w:pPr>
        <w:spacing w:after="160"/>
      </w:pPr>
      <w:r>
        <w:rPr>
          <w:rFonts w:ascii="Arial" w:cs="Arial" w:eastAsia="Arial" w:hAnsi="Arial"/>
          <w:color w:val="444444"/>
          <w:sz w:val="21"/>
          <w:szCs w:val="21"/>
        </w:rPr>
        <w:t xml:space="preserve">The Tool contains scenario models and projections that are inherently forward-looking and speculative. These are based on assumptions, publicly available data, and AI inference. They are not predictions, forecasts, or guarantees of any future outcome. Actual outcomes may differ materially from any scenario modelled in the Tool. Users should not treat any scenario output as a reliable indicator of future market conditions, regulatory outcomes, or commercial performance.</w:t>
      </w:r>
    </w:p>
    <w:p>
      <w:pPr>
        <w:spacing w:after="100" w:before="100"/>
      </w:pPr>
    </w:p>
    <w:p>
      <w:pPr>
        <w:pBdr>
          <w:top w:val="single" w:color="CCCCCC" w:sz="4" w:space="8"/>
        </w:pBdr>
        <w:spacing w:before="400"/>
      </w:pPr>
      <w:r>
        <w:rPr>
          <w:rFonts w:ascii="Arial" w:cs="Arial" w:eastAsia="Arial" w:hAnsi="Arial"/>
          <w:color w:val="999999"/>
          <w:sz w:val="18"/>
          <w:szCs w:val="18"/>
        </w:rPr>
        <w:t xml:space="preserve">AussiePay Scenario Engine  |  aussiepay.netlify.app  |  Last updated: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2026-04-07T14:46:27.931Z</dcterms:created>
  <dcterms:modified xsi:type="dcterms:W3CDTF">2026-04-07T14:46:27.932Z</dcterms:modified>
</cp:coreProperties>
</file>

<file path=docProps/custom.xml><?xml version="1.0" encoding="utf-8"?>
<Properties xmlns="http://schemas.openxmlformats.org/officeDocument/2006/custom-properties" xmlns:vt="http://schemas.openxmlformats.org/officeDocument/2006/docPropsVTypes"/>
</file>