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Times New Roman" w:hAnsi="Times New Roman" w:eastAsia="Times New Roman"/>
          <w:b w:val="0"/>
          <w:i w:val="0"/>
          <w:color w:val="000000"/>
          <w:sz w:val="34"/>
        </w:rPr>
        <w:t>Highlights</w:t>
      </w:r>
    </w:p>
    <w:p>
      <w:pPr>
        <w:widowControl/>
        <w:ind w:left="397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A four-sport screen preceded locked evaluation in graded cycle ergometry.</w:t>
      </w:r>
    </w:p>
    <w:p>
      <w:pPr>
        <w:widowControl/>
        <w:ind w:left="397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CycHRR-T is bounded, monotonic, and preserves the maximal endpoint.</w:t>
      </w:r>
    </w:p>
    <w:p>
      <w:pPr>
        <w:widowControl/>
        <w:ind w:left="397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Temporal VO2-reserve MAE improved by 1.07 percentage points versus raw HRR.</w:t>
      </w:r>
    </w:p>
    <w:p>
      <w:pPr>
        <w:widowControl/>
        <w:ind w:left="397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Exact temporal 10% VO2-reserve-band agreement increased from 50.9% to 59.7%.</w:t>
      </w:r>
    </w:p>
    <w:p>
      <w:pPr>
        <w:widowControl/>
        <w:ind w:left="397" w:hanging="283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• Nonlinear benefit beyond fitted linear calibration was not generally established.</w:t>
      </w:r>
    </w:p>
    <w:sectPr w:rsidR="00FC693F" w:rsidRPr="0006063C" w:rsidSect="00034616">
      <w:headerReference w:type="default" r:id="rId9"/>
      <w:headerReference w:type="first" r:id="rId10"/>
      <w:footerReference w:type="default" r:id="rId11"/>
      <w:pgSz w:w="11906" w:h="16838"/>
      <w:pgMar w:top="1440" w:right="1440" w:bottom="1440" w:left="1440" w:header="709" w:footer="709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Times New Roman" w:hAnsi="Times New Roman" w:eastAsia="Times New Roman"/>
        <w:color w:val="5F6B73"/>
        <w:sz w:val="17"/>
      </w:rPr>
      <w:t xml:space="preserve">Page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Times New Roman" w:hAnsi="Times New Roman" w:eastAsia="Times New Roman"/>
        <w:color w:val="5F6B73"/>
        <w:sz w:val="17"/>
      </w:rPr>
      <w:t>Highlights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60" w:lineRule="auto"/>
      <w:jc w:val="both"/>
    </w:pPr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76" w:lineRule="auto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color w:val="173A5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76" w:lineRule="auto" w:before="0"/>
      <w:contextualSpacing/>
    </w:pPr>
    <w:rPr>
      <w:rFonts w:asciiTheme="majorHAnsi" w:eastAsiaTheme="majorEastAsia" w:hAnsiTheme="majorHAnsi" w:cstheme="majorBidi" w:ascii="Times New Roman" w:hAnsi="Times New Roman" w:eastAsia="Times New Roman"/>
      <w:b w:val="0"/>
      <w:color w:val="173A53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52" w:lineRule="auto" w:before="80" w:after="160"/>
    </w:pPr>
    <w:rPr>
      <w:rFonts w:ascii="Times New Roman" w:hAnsi="Times New Roman" w:eastAsia="Times New Roman"/>
      <w:b/>
      <w:bCs/>
      <w:color w:val="5F6B73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Highlights</dc:title>
  <dc:subject/>
  <dc:creator>BoTao Cai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