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34"/>
        </w:rPr>
        <w:t>Highlights</w:t>
      </w:r>
    </w:p>
    <w:p>
      <w:pPr>
        <w:widowControl/>
        <w:ind w:left="397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• A four-sport screen preceded locked evaluation in graded cycle ergometry.</w:t>
      </w:r>
    </w:p>
    <w:p>
      <w:pPr>
        <w:widowControl/>
        <w:ind w:left="397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• CycHRR-T is bounded, monotonic, and preserves the maximal endpoint.</w:t>
      </w:r>
    </w:p>
    <w:p>
      <w:pPr>
        <w:widowControl/>
        <w:ind w:left="397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• Temporal VO2-reserve MAE improved by 1.07 percentage points versus raw HRR.</w:t>
      </w:r>
    </w:p>
    <w:p>
      <w:pPr>
        <w:widowControl/>
        <w:ind w:left="397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• Exact temporal 10% VO2-reserve-band agreement increased from 50.9% to 59.7%.</w:t>
      </w:r>
    </w:p>
    <w:p>
      <w:pPr>
        <w:widowControl/>
        <w:ind w:left="397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• Nonlinear benefit beyond fitted linear calibration was not generally established.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pgSz w:w="11906" w:h="16838"/>
      <w:pgMar w:top="1440" w:right="1440" w:bottom="1440" w:left="1440" w:header="709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Times New Roman" w:hAnsi="Times New Roman" w:eastAsia="Times New Roman"/>
        <w:color w:val="5F6B73"/>
        <w:sz w:val="17"/>
      </w:rPr>
      <w:t xml:space="preserve">Page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Times New Roman" w:hAnsi="Times New Roman" w:eastAsia="Times New Roman"/>
        <w:color w:val="5F6B73"/>
        <w:sz w:val="17"/>
      </w:rPr>
      <w:t>Highlights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60" w:lineRule="auto"/>
      <w:jc w:val="both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76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73A5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76" w:lineRule="auto" w:before="0"/>
      <w:contextualSpacing/>
    </w:pPr>
    <w:rPr>
      <w:rFonts w:asciiTheme="majorHAnsi" w:eastAsiaTheme="majorEastAsia" w:hAnsiTheme="majorHAnsi" w:cstheme="majorBidi" w:ascii="Times New Roman" w:hAnsi="Times New Roman" w:eastAsia="Times New Roman"/>
      <w:b w:val="0"/>
      <w:color w:val="173A53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52" w:lineRule="auto" w:before="80" w:after="160"/>
    </w:pPr>
    <w:rPr>
      <w:rFonts w:ascii="Times New Roman" w:hAnsi="Times New Roman" w:eastAsia="Times New Roman"/>
      <w:b/>
      <w:bCs/>
      <w:color w:val="5F6B7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subject/>
  <dc:creator>BoTao Cai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