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34"/>
        </w:rPr>
        <w:t>Highlights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A four-sport screen preceded locked evaluation in graded cycle ergometry.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CycHRR-T is bounded, monotonic, and preserves the maximal endpoint.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Temporal VO2-reserve MAE improved by 1.07 percentage points versus raw HRR.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Exact temporal 10% VO2-reserve-band agreement increased from 50.9% to 59.7%.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Nonlinear benefit beyond fitted linear calibration was not generally established.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Times New Roman" w:hAnsi="Times New Roman" w:eastAsia="Times New Roman"/>
        <w:color w:val="5F6B73"/>
        <w:sz w:val="17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5F6B73"/>
        <w:sz w:val="17"/>
      </w:rPr>
      <w:t>Highlights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jc w:val="both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A5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 w:val="0"/>
      <w:color w:val="173A5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before="80" w:after="160"/>
    </w:pPr>
    <w:rPr>
      <w:rFonts w:ascii="Times New Roman" w:hAnsi="Times New Roman" w:eastAsia="Times New Roman"/>
      <w:b/>
      <w:bCs/>
      <w:color w:val="5F6B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>Botao Cai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