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sz w:val="32"/>
        </w:rPr>
        <w:t>APARNA MISHRA</w:t>
      </w:r>
    </w:p>
    <w:p>
      <w:pPr>
        <w:spacing w:before="0" w:after="20"/>
      </w:pPr>
      <w:r>
        <w:rPr>
          <w:b/>
          <w:i w:val="0"/>
          <w:sz w:val="20"/>
        </w:rPr>
        <w:t>Pharmacovigilance &amp; Drug Safety | ICSR Case Processing | MedDRA Coding | Adverse Event Reporting</w:t>
      </w:r>
    </w:p>
    <w:p>
      <w:pPr>
        <w:spacing w:before="0" w:after="0"/>
      </w:pPr>
      <w:r>
        <w:rPr>
          <w:b w:val="0"/>
          <w:i w:val="0"/>
          <w:sz w:val="18"/>
        </w:rPr>
        <w:t>[City, State], India | Open to relocation | Available for rotational shifts</w:t>
      </w:r>
    </w:p>
    <w:p>
      <w:pPr>
        <w:spacing w:before="0" w:after="0"/>
      </w:pPr>
      <w:r>
        <w:rPr>
          <w:b w:val="0"/>
          <w:i w:val="0"/>
          <w:sz w:val="18"/>
        </w:rPr>
        <w:t>+91-7355334597 | diaparna03@gmail.com | linkedin.com/in/aparnamishraa176</w:t>
      </w:r>
    </w:p>
    <w:p>
      <w:pPr>
        <w:spacing w:before="70" w:after="20"/>
        <w:pBdr>
          <w:bottom w:val="single" w:sz="6" w:space="1" w:color="000000"/>
        </w:pBdr>
      </w:pPr>
      <w:r>
        <w:rPr>
          <w:b/>
          <w:i w:val="0"/>
          <w:sz w:val="19"/>
        </w:rPr>
        <w:t>PROFESSIONAL SUMMARY</w:t>
      </w:r>
    </w:p>
    <w:p>
      <w:pPr>
        <w:spacing w:before="0" w:after="30"/>
      </w:pPr>
      <w:r>
        <w:rPr>
          <w:b w:val="0"/>
          <w:i w:val="0"/>
          <w:sz w:val="18"/>
        </w:rPr>
        <w:t>M.Pharm (Pharmacology) postgraduate and certified Clinical Research and Pharmacovigilance professional targeting Drug Safety Associate / Pharmacovigilance Associate roles. Trained in end-to-end ICSR case processing - case intake, duplicate check, triage, data entry, MedDRA and WHO-DD coding, causality and seriousness assessment, medical narrative writing and quality review - with working knowledge of ICH E2A/E2B(R3)/E2C(R2)/E2D, EU GVP Modules VI and VII, 21 CFR expedited reporting, and India NDCT Rules 2019 / PvPI timelines (7-day fatal, 15-day serious, 90-day non-serious). Hands-on with VigiFlow and VigiAccess; foundational training in Oracle Argus Safety, ArisGlobal ARISg and Veeva Vault Safety. Currently in a GMP-regulated role at Dr. Reddy's Laboratories, bringing documentation accuracy, data-integrity discipline and SOP compliance transferable to drug safety operations.</w:t>
      </w:r>
    </w:p>
    <w:p>
      <w:pPr>
        <w:spacing w:before="70" w:after="20"/>
        <w:pBdr>
          <w:bottom w:val="single" w:sz="6" w:space="1" w:color="000000"/>
        </w:pBdr>
      </w:pPr>
      <w:r>
        <w:rPr>
          <w:b/>
          <w:i w:val="0"/>
          <w:sz w:val="19"/>
        </w:rPr>
        <w:t>CORE SKILLS</w:t>
      </w:r>
    </w:p>
    <w:p>
      <w:pPr>
        <w:spacing w:after="30"/>
      </w:pPr>
      <w:r>
        <w:rPr>
          <w:b/>
          <w:sz w:val="18"/>
        </w:rPr>
        <w:t xml:space="preserve">Pharmacovigilance Operations: </w:t>
      </w:r>
      <w:r>
        <w:rPr>
          <w:sz w:val="18"/>
        </w:rPr>
        <w:t>ICSR case processing (end-to-end); case intake and receipt; duplicate search; triage; case creation and data entry; seriousness, expectedness and listedness assessment; causality assessment (WHO-UMC, Naranjo algorithm); medical narrative writing; follow-up requests; quality check (QC) and peer review; case closure and archival</w:t>
      </w:r>
    </w:p>
    <w:p>
      <w:pPr>
        <w:spacing w:after="30"/>
      </w:pPr>
      <w:r>
        <w:rPr>
          <w:b/>
          <w:sz w:val="18"/>
        </w:rPr>
        <w:t xml:space="preserve">Case Types &amp; Formats: </w:t>
      </w:r>
      <w:r>
        <w:rPr>
          <w:sz w:val="18"/>
        </w:rPr>
        <w:t>Spontaneous, solicited, clinical trial, literature and post-marketing cases; AE, ADR, SAE, SUSAR, AESI, special situations (pregnancy, overdose, off-label use, medication error); CIOMS I, MedWatch 3500A, E2B(R3) XML, PvPI ADR reporting form, line listings</w:t>
      </w:r>
    </w:p>
    <w:p>
      <w:pPr>
        <w:spacing w:after="30"/>
      </w:pPr>
      <w:r>
        <w:rPr>
          <w:b/>
          <w:sz w:val="18"/>
        </w:rPr>
        <w:t xml:space="preserve">Coding &amp; Dictionaries: </w:t>
      </w:r>
      <w:r>
        <w:rPr>
          <w:sz w:val="18"/>
        </w:rPr>
        <w:t>MedDRA hierarchy (SOC, HLGT, HLT, PT, LLT); MedDRA Term Selection: Points to Consider (MTS:PTC); WHO Drug Dictionary (WHO-DD) drug coding; medical terminology; anatomy and physiology</w:t>
      </w:r>
    </w:p>
    <w:p>
      <w:pPr>
        <w:spacing w:after="30"/>
      </w:pPr>
      <w:r>
        <w:rPr>
          <w:b/>
          <w:sz w:val="18"/>
        </w:rPr>
        <w:t xml:space="preserve">Safety Databases &amp; Systems: </w:t>
      </w:r>
      <w:r>
        <w:rPr>
          <w:sz w:val="18"/>
        </w:rPr>
        <w:t>VigiFlow (hands-on, academic instance); VigiBase / VigiAccess; Oracle Argus Safety (foundational training); ArisGlobal ARISg (foundational); Veeva Vault Safety (foundational); EudraVigilance and SUGAM portal awareness</w:t>
      </w:r>
    </w:p>
    <w:p>
      <w:pPr>
        <w:spacing w:after="30"/>
      </w:pPr>
      <w:r>
        <w:rPr>
          <w:b/>
          <w:sz w:val="18"/>
        </w:rPr>
        <w:t xml:space="preserve">Regulations &amp; Guidelines: </w:t>
      </w:r>
      <w:r>
        <w:rPr>
          <w:sz w:val="18"/>
        </w:rPr>
        <w:t>ICH E2A, E2B(R3), E2C(R2)/PBRER, E2D, E2E, E2F; EU GVP Module VI, Module VII, Module IX and Module XV; 21 CFR 314.80 and 312.32 (awareness); Drugs and Cosmetics Act 1940; New Drugs and Clinical Trials (NDCT) Rules 2019; Schedule Y; PvPI / IPC / CDSCO; AMC and ADR monitoring; ICH-GCP; GVP and GMP compliance</w:t>
      </w:r>
    </w:p>
    <w:p>
      <w:pPr>
        <w:spacing w:after="30"/>
      </w:pPr>
      <w:r>
        <w:rPr>
          <w:b/>
          <w:sz w:val="18"/>
        </w:rPr>
        <w:t xml:space="preserve">Aggregate Reporting &amp; Signal Management: </w:t>
      </w:r>
      <w:r>
        <w:rPr>
          <w:sz w:val="18"/>
        </w:rPr>
        <w:t>PSUR / PBRER and DSUR structure and content; literature screening (PubMed, Embase); signal detection and evaluation concepts; Risk Management Plan (RMP); Pharmacovigilance System Master File (PSMF) awareness; benefit-risk assessment fundamentals</w:t>
      </w:r>
    </w:p>
    <w:p>
      <w:pPr>
        <w:spacing w:after="30"/>
      </w:pPr>
      <w:r>
        <w:rPr>
          <w:b/>
          <w:sz w:val="18"/>
        </w:rPr>
        <w:t xml:space="preserve">Quality, Documentation &amp; Compliance: </w:t>
      </w:r>
      <w:r>
        <w:rPr>
          <w:sz w:val="18"/>
        </w:rPr>
        <w:t>SOP preparation, adherence and review; Good Documentation Practice (GDP); ALCOA+ data integrity; regulatory reporting timelines and compliance metrics; deviation and CAPA awareness; audit and inspection readiness; data privacy and confidentiality</w:t>
      </w:r>
    </w:p>
    <w:p>
      <w:pPr>
        <w:spacing w:after="30"/>
      </w:pPr>
      <w:r>
        <w:rPr>
          <w:b/>
          <w:sz w:val="18"/>
        </w:rPr>
        <w:t xml:space="preserve">Technical &amp; Professional: </w:t>
      </w:r>
      <w:r>
        <w:rPr>
          <w:sz w:val="18"/>
        </w:rPr>
        <w:t>LC-MS and HPLC analysis; analytical method development and validation; GraphPad Prism (ANOVA, post-hoc, regression); MS Excel (trackers, pivot tables, VLOOKUP), Word, PowerPoint, Outlook; attention to detail; scientific and regulatory writing; cross-functional collaboration; delivery against strict reporting deadlines; rotational shift readiness</w:t>
      </w:r>
    </w:p>
    <w:p>
      <w:pPr>
        <w:spacing w:before="70" w:after="20"/>
        <w:pBdr>
          <w:bottom w:val="single" w:sz="6" w:space="1" w:color="000000"/>
        </w:pBdr>
      </w:pPr>
      <w:r>
        <w:rPr>
          <w:b/>
          <w:i w:val="0"/>
          <w:sz w:val="19"/>
        </w:rPr>
        <w:t>PROFESSIONAL EXPERIENCE</w:t>
      </w:r>
    </w:p>
    <w:p>
      <w:pPr>
        <w:tabs>
          <w:tab w:pos="10800" w:val="right"/>
        </w:tabs>
        <w:spacing w:before="60" w:after="0"/>
      </w:pPr>
      <w:r>
        <w:rPr>
          <w:b/>
          <w:sz w:val="18"/>
        </w:rPr>
        <w:t>Research &amp; Development Apprentice - Analytical Research &amp; Development (AR&amp;D)</w:t>
      </w:r>
      <w:r>
        <w:rPr>
          <w:b/>
          <w:sz w:val="18"/>
        </w:rPr>
        <w:tab/>
        <w:t>Jun 2026 - Present</w:t>
      </w:r>
    </w:p>
    <w:p>
      <w:pPr>
        <w:spacing w:before="0" w:after="30"/>
      </w:pPr>
      <w:r>
        <w:rPr>
          <w:b w:val="0"/>
          <w:i/>
          <w:sz w:val="18"/>
        </w:rPr>
        <w:t>Dr. Reddy's Laboratories Ltd. | [City], India</w:t>
      </w:r>
    </w:p>
    <w:p>
      <w:pPr>
        <w:spacing w:after="24" w:lineRule="exact" w:line="208"/>
        <w:ind w:left="259" w:hanging="259"/>
      </w:pPr>
      <w:r>
        <w:rPr>
          <w:sz w:val="18"/>
        </w:rPr>
        <w:t>• Perform routine and stability-related analytical testing of drug substances and drug products using LC-MS and HPLC for identification, quantification and impurity profiling in a GMP-regulated laboratory.</w:t>
      </w:r>
    </w:p>
    <w:p>
      <w:pPr>
        <w:spacing w:after="24" w:lineRule="exact" w:line="208"/>
        <w:ind w:left="259" w:hanging="259"/>
      </w:pPr>
      <w:r>
        <w:rPr>
          <w:sz w:val="18"/>
        </w:rPr>
        <w:t>• Support method development and validation (specificity, linearity, accuracy, precision, calibration, system suitability), preparing protocols and reports aligned to ICH quality guidelines.</w:t>
      </w:r>
    </w:p>
    <w:p>
      <w:pPr>
        <w:spacing w:after="24" w:lineRule="exact" w:line="208"/>
        <w:ind w:left="259" w:hanging="259"/>
      </w:pPr>
      <w:r>
        <w:rPr>
          <w:sz w:val="18"/>
        </w:rPr>
        <w:t>• Record all raw data, observations and results to Good Documentation Practice and ALCOA+ data-integrity expectations, producing audit-ready and inspection-ready documentation.</w:t>
      </w:r>
    </w:p>
    <w:p>
      <w:pPr>
        <w:spacing w:after="24" w:lineRule="exact" w:line="208"/>
        <w:ind w:left="259" w:hanging="259"/>
      </w:pPr>
      <w:r>
        <w:rPr>
          <w:sz w:val="18"/>
        </w:rPr>
        <w:t>• Work strictly to approved SOPs and escalate atypical, out-of-trend or discrepant results per defined escalation paths - the same evidence-based, source-verified assessment discipline used in adverse event evaluation and case follow-up.</w:t>
      </w:r>
    </w:p>
    <w:p>
      <w:pPr>
        <w:spacing w:after="24" w:lineRule="exact" w:line="208"/>
        <w:ind w:left="259" w:hanging="259"/>
      </w:pPr>
      <w:r>
        <w:rPr>
          <w:sz w:val="18"/>
        </w:rPr>
        <w:t>• Coordinate daily with QC, QA and cross-functional teams on sample tracking, documentation queries and turnaround timelines, consistently meeting committed deadlines in a deadline-driven regulated environment.</w:t>
      </w:r>
    </w:p>
    <w:p>
      <w:pPr>
        <w:spacing w:before="70" w:after="20"/>
        <w:pBdr>
          <w:bottom w:val="single" w:sz="6" w:space="1" w:color="000000"/>
        </w:pBdr>
      </w:pPr>
      <w:r>
        <w:rPr>
          <w:b/>
          <w:i w:val="0"/>
          <w:sz w:val="19"/>
        </w:rPr>
        <w:t>PHARMACOVIGILANCE TRAINING &amp; CASE-PROCESSING EXPOSURE</w:t>
      </w:r>
    </w:p>
    <w:p>
      <w:pPr>
        <w:spacing w:before="0" w:after="30"/>
      </w:pPr>
      <w:r>
        <w:rPr>
          <w:b w:val="0"/>
          <w:i/>
          <w:sz w:val="18"/>
        </w:rPr>
        <w:t>Certification-based practicum and academic training (not industry case-processing experience) covering the complete ICSR lifecycle.</w:t>
      </w:r>
    </w:p>
    <w:p>
      <w:pPr>
        <w:tabs>
          <w:tab w:pos="10800" w:val="right"/>
        </w:tabs>
        <w:spacing w:before="60" w:after="0"/>
      </w:pPr>
      <w:r>
        <w:rPr>
          <w:b/>
          <w:sz w:val="18"/>
        </w:rPr>
        <w:t>Clinical Research &amp; Pharmacovigilance Certification - Practicum</w:t>
      </w:r>
      <w:r>
        <w:rPr>
          <w:b/>
          <w:sz w:val="18"/>
        </w:rPr>
        <w:tab/>
        <w:t>Oct 2025</w:t>
      </w:r>
    </w:p>
    <w:p>
      <w:pPr>
        <w:spacing w:before="0" w:after="30"/>
      </w:pPr>
      <w:r>
        <w:rPr>
          <w:b w:val="0"/>
          <w:i/>
          <w:sz w:val="18"/>
        </w:rPr>
        <w:t>[Training Institute Name]</w:t>
      </w:r>
    </w:p>
    <w:p>
      <w:pPr>
        <w:spacing w:after="24" w:lineRule="exact" w:line="208"/>
        <w:ind w:left="259" w:hanging="259"/>
      </w:pPr>
      <w:r>
        <w:rPr>
          <w:sz w:val="18"/>
        </w:rPr>
        <w:t>• Trained on the end-to-end ICSR lifecycle - case receipt and intake from spontaneous, solicited, clinical trial and literature sources, duplicate search, triage for seriousness, case creation and data entry, coding, medical narrative writing, quality check and expedited submission - processing [N]+ simulated ICSRs against the four case validity criteria and mandatory E2B(R3) data elements.</w:t>
      </w:r>
    </w:p>
    <w:p>
      <w:pPr>
        <w:spacing w:after="24" w:lineRule="exact" w:line="208"/>
        <w:ind w:left="259" w:hanging="259"/>
      </w:pPr>
      <w:r>
        <w:rPr>
          <w:sz w:val="18"/>
        </w:rPr>
        <w:t>• Coded adverse events, indications, medical history and investigations in the MedDRA hierarchy (SOC, HLGT, HLT, PT, LLT) applying MedDRA Term Selection: Points to Consider, and coded suspect and concomitant products using WHO Drug Dictionary.</w:t>
      </w:r>
    </w:p>
    <w:p>
      <w:pPr>
        <w:spacing w:after="24" w:lineRule="exact" w:line="208"/>
        <w:ind w:left="259" w:hanging="259"/>
      </w:pPr>
      <w:r>
        <w:rPr>
          <w:sz w:val="18"/>
        </w:rPr>
        <w:t>• Assessed causality using WHO-UMC categories and the Naranjo algorithm; documented seriousness criteria (death, life-threatening, hospitalisation or prolongation, disability, congenital anomaly, other medically significant) and expectedness against reference safety information.</w:t>
      </w:r>
    </w:p>
    <w:p>
      <w:pPr>
        <w:spacing w:after="24" w:lineRule="exact" w:line="208"/>
        <w:ind w:left="259" w:hanging="259"/>
      </w:pPr>
      <w:r>
        <w:rPr>
          <w:sz w:val="18"/>
        </w:rPr>
        <w:t>• Drafted structured medical narratives and CIOMS I / MedWatch 3500A style case documents covering patient history, event chronology, treatment, outcome and reporter causality, and raised follow-up queries for missing safety information.</w:t>
      </w:r>
    </w:p>
    <w:p>
      <w:pPr>
        <w:spacing w:after="24" w:lineRule="exact" w:line="208"/>
        <w:ind w:left="259" w:hanging="259"/>
      </w:pPr>
      <w:r>
        <w:rPr>
          <w:sz w:val="18"/>
        </w:rPr>
        <w:t>• Entered and managed adverse event reports in VigiFlow and queried VigiAccess / VigiBase for product-event pairs; reviewed line listings to understand signal detection and disproportionality concepts.</w:t>
      </w:r>
    </w:p>
    <w:p>
      <w:pPr>
        <w:spacing w:after="24" w:lineRule="exact" w:line="208"/>
        <w:ind w:left="259" w:hanging="259"/>
      </w:pPr>
      <w:r>
        <w:rPr>
          <w:sz w:val="18"/>
        </w:rPr>
        <w:t>• Mapped India reporting obligations under NDCT Rules 2019 and PvPI guidance (7-day fatal or life-threatening, 15-day serious, 90-day non-serious) against EU GVP Module VI and US 21 CFR expedited reporting timelines.</w:t>
      </w:r>
    </w:p>
    <w:p>
      <w:pPr>
        <w:spacing w:after="24" w:lineRule="exact" w:line="208"/>
        <w:ind w:left="259" w:hanging="259"/>
      </w:pPr>
      <w:r>
        <w:rPr>
          <w:sz w:val="18"/>
        </w:rPr>
        <w:t>• Screened biomedical literature in PubMed and Embase for valid ICSR criteria and studied the structure and content of aggregate safety reports - PSUR / PBRER per ICH E2C(R2), DSUR per ICH E2F - plus Risk Management Plan and PSMF components.</w:t>
      </w:r>
    </w:p>
    <w:p>
      <w:pPr>
        <w:tabs>
          <w:tab w:pos="10800" w:val="right"/>
        </w:tabs>
        <w:spacing w:before="60" w:after="0"/>
      </w:pPr>
      <w:r>
        <w:rPr>
          <w:b/>
          <w:sz w:val="18"/>
        </w:rPr>
        <w:t>Medical Scribing &amp; Medical Coding + Applied Pharmacotherapeutics Certifications</w:t>
      </w:r>
      <w:r>
        <w:rPr>
          <w:b/>
          <w:sz w:val="18"/>
        </w:rPr>
        <w:tab/>
        <w:t>Aug 2025 - Nov 2025</w:t>
      </w:r>
    </w:p>
    <w:p>
      <w:pPr>
        <w:spacing w:before="0" w:after="30"/>
      </w:pPr>
      <w:r>
        <w:rPr>
          <w:b w:val="0"/>
          <w:i/>
          <w:sz w:val="18"/>
        </w:rPr>
        <w:t>[Training Institute Name]</w:t>
      </w:r>
    </w:p>
    <w:p>
      <w:pPr>
        <w:spacing w:after="24" w:lineRule="exact" w:line="208"/>
        <w:ind w:left="259" w:hanging="259"/>
      </w:pPr>
      <w:r>
        <w:rPr>
          <w:sz w:val="18"/>
        </w:rPr>
        <w:t>• Built accuracy in interpreting clinical documentation, medical abbreviations, laboratory data and diagnosis-to-code mapping, and strengthened drug-class, interaction and ADR-profile knowledge used to judge event plausibility, expectedness and medical significance during case assessment.</w:t>
      </w:r>
    </w:p>
    <w:p>
      <w:pPr>
        <w:spacing w:before="70" w:after="20"/>
        <w:pBdr>
          <w:bottom w:val="single" w:sz="6" w:space="1" w:color="000000"/>
        </w:pBdr>
      </w:pPr>
      <w:r>
        <w:rPr>
          <w:b/>
          <w:i w:val="0"/>
          <w:sz w:val="19"/>
        </w:rPr>
        <w:t>EDUCATION</w:t>
      </w:r>
    </w:p>
    <w:p>
      <w:pPr>
        <w:tabs>
          <w:tab w:pos="10800" w:val="right"/>
        </w:tabs>
        <w:spacing w:before="60" w:after="0"/>
      </w:pPr>
      <w:r>
        <w:rPr>
          <w:b/>
          <w:sz w:val="18"/>
        </w:rPr>
        <w:t>M.Pharm - Pharmacology</w:t>
      </w:r>
      <w:r>
        <w:rPr>
          <w:b/>
          <w:sz w:val="18"/>
        </w:rPr>
        <w:tab/>
        <w:t>Aug 2024 - May 2026</w:t>
      </w:r>
    </w:p>
    <w:p>
      <w:pPr>
        <w:spacing w:before="0" w:after="30"/>
      </w:pPr>
      <w:r>
        <w:rPr>
          <w:b w:val="0"/>
          <w:i/>
          <w:sz w:val="18"/>
        </w:rPr>
        <w:t>Lovely Professional University, Punjab</w:t>
      </w:r>
    </w:p>
    <w:p>
      <w:pPr>
        <w:spacing w:after="24" w:lineRule="exact" w:line="208"/>
        <w:ind w:left="259" w:hanging="259"/>
      </w:pPr>
      <w:r>
        <w:rPr>
          <w:sz w:val="18"/>
        </w:rPr>
        <w:t>• Completed. CGPA: [X.XX/10]. Coursework: pharmacovigilance and drug safety, clinical research, toxicology, biostatistics, regulatory affairs.</w:t>
      </w:r>
    </w:p>
    <w:p>
      <w:pPr>
        <w:tabs>
          <w:tab w:pos="10800" w:val="right"/>
        </w:tabs>
        <w:spacing w:before="60" w:after="0"/>
      </w:pPr>
      <w:r>
        <w:rPr>
          <w:b/>
          <w:sz w:val="18"/>
        </w:rPr>
        <w:t>B.Pharm</w:t>
      </w:r>
      <w:r>
        <w:rPr>
          <w:b/>
          <w:sz w:val="18"/>
        </w:rPr>
        <w:tab/>
        <w:t>Aug 2019 - May 2023</w:t>
      </w:r>
    </w:p>
    <w:p>
      <w:pPr>
        <w:spacing w:before="0" w:after="30"/>
      </w:pPr>
      <w:r>
        <w:rPr>
          <w:b w:val="0"/>
          <w:i/>
          <w:sz w:val="18"/>
        </w:rPr>
        <w:t>Bundelkhand University, Jhansi, Uttar Pradesh</w:t>
      </w:r>
    </w:p>
    <w:p>
      <w:pPr>
        <w:spacing w:after="24" w:lineRule="exact" w:line="208"/>
        <w:ind w:left="259" w:hanging="259"/>
      </w:pPr>
      <w:r>
        <w:rPr>
          <w:sz w:val="18"/>
        </w:rPr>
        <w:t>• Percentage/CGPA: [X.XX].</w:t>
      </w:r>
    </w:p>
    <w:p>
      <w:pPr>
        <w:spacing w:before="70" w:after="20"/>
        <w:pBdr>
          <w:bottom w:val="single" w:sz="6" w:space="1" w:color="000000"/>
        </w:pBdr>
      </w:pPr>
      <w:r>
        <w:rPr>
          <w:b/>
          <w:i w:val="0"/>
          <w:sz w:val="19"/>
        </w:rPr>
        <w:t>RESEARCH &amp; ACADEMIC PROJECTS</w:t>
      </w:r>
    </w:p>
    <w:p>
      <w:pPr>
        <w:tabs>
          <w:tab w:pos="10800" w:val="right"/>
        </w:tabs>
        <w:spacing w:before="60" w:after="0"/>
      </w:pPr>
      <w:r>
        <w:rPr>
          <w:b/>
          <w:sz w:val="18"/>
        </w:rPr>
        <w:t>Validation of a Novel Apparatus for Parkinsonism Motor Dysfunction Assessment</w:t>
      </w:r>
      <w:r>
        <w:rPr>
          <w:b/>
          <w:sz w:val="18"/>
        </w:rPr>
        <w:tab/>
        <w:t>Jul 2025 - May 2026</w:t>
      </w:r>
    </w:p>
    <w:p>
      <w:pPr>
        <w:spacing w:before="0" w:after="30"/>
      </w:pPr>
      <w:r>
        <w:rPr>
          <w:b w:val="0"/>
          <w:i/>
          <w:sz w:val="18"/>
        </w:rPr>
        <w:t>M.Pharm Dissertation, Lovely Professional University</w:t>
      </w:r>
    </w:p>
    <w:p>
      <w:pPr>
        <w:spacing w:after="24" w:lineRule="exact" w:line="208"/>
        <w:ind w:left="259" w:hanging="259"/>
      </w:pPr>
      <w:r>
        <w:rPr>
          <w:sz w:val="18"/>
        </w:rPr>
        <w:t>• Designed and validated a novel apparatus for reproducible motor dysfunction assessment in MPTP / 6-OHDA induced Parkinsonian rodent models under CPCSEA-compliant protocols.</w:t>
      </w:r>
    </w:p>
    <w:p>
      <w:pPr>
        <w:spacing w:after="24" w:lineRule="exact" w:line="208"/>
        <w:ind w:left="259" w:hanging="259"/>
      </w:pPr>
      <w:r>
        <w:rPr>
          <w:sz w:val="18"/>
        </w:rPr>
        <w:t>• Documented mobility score, coordination index and latency time observations in standardised source records with over 90% reproducibility across 4 treatment groups and zero ethical protocol deviations - a documentation discipline equivalent to structured adverse event capture and case narrative preparation.</w:t>
      </w:r>
    </w:p>
    <w:p>
      <w:pPr>
        <w:spacing w:after="24" w:lineRule="exact" w:line="208"/>
        <w:ind w:left="259" w:hanging="259"/>
      </w:pPr>
      <w:r>
        <w:rPr>
          <w:sz w:val="18"/>
        </w:rPr>
        <w:t>• Analysed data using ANOVA, post-hoc tests and regression in GraphPad Prism, reporting statistically significant outcomes (p &lt; 0.05) accepted by the dissertation committee.</w:t>
      </w:r>
    </w:p>
    <w:p>
      <w:pPr>
        <w:tabs>
          <w:tab w:pos="10800" w:val="right"/>
        </w:tabs>
        <w:spacing w:before="60" w:after="0"/>
      </w:pPr>
      <w:r>
        <w:rPr>
          <w:b/>
          <w:sz w:val="18"/>
        </w:rPr>
        <w:t>Tablet Formulation and Evaluation Study</w:t>
      </w:r>
      <w:r>
        <w:rPr>
          <w:b/>
          <w:sz w:val="18"/>
        </w:rPr>
        <w:tab/>
        <w:t>2022 - 2023</w:t>
      </w:r>
    </w:p>
    <w:p>
      <w:pPr>
        <w:spacing w:before="0" w:after="30"/>
      </w:pPr>
      <w:r>
        <w:rPr>
          <w:b w:val="0"/>
          <w:i/>
          <w:sz w:val="18"/>
        </w:rPr>
        <w:t>Academic Project, Bundelkhand University</w:t>
      </w:r>
    </w:p>
    <w:p>
      <w:pPr>
        <w:spacing w:after="24" w:lineRule="exact" w:line="208"/>
        <w:ind w:left="259" w:hanging="259"/>
      </w:pPr>
      <w:r>
        <w:rPr>
          <w:sz w:val="18"/>
        </w:rPr>
        <w:t>• Applied wet granulation and direct compression, varying excipient ratios to resolve inconsistent dissolution profiles and batch non-uniformity; conducted pre- and post-compression testing (hardness, friability, dissolution, weight variation) to meet IP/USP acceptance criteria.</w:t>
      </w:r>
    </w:p>
    <w:p>
      <w:pPr>
        <w:spacing w:after="24" w:lineRule="exact" w:line="208"/>
        <w:ind w:left="259" w:hanging="259"/>
      </w:pPr>
      <w:r>
        <w:rPr>
          <w:sz w:val="18"/>
        </w:rPr>
        <w:t>• Produced a complete stability evaluation report with full traceable documentation, demonstrating regulated-industry reporting skills.</w:t>
      </w:r>
    </w:p>
    <w:p>
      <w:pPr>
        <w:spacing w:before="70" w:after="20"/>
        <w:pBdr>
          <w:bottom w:val="single" w:sz="6" w:space="1" w:color="000000"/>
        </w:pBdr>
      </w:pPr>
      <w:r>
        <w:rPr>
          <w:b/>
          <w:i w:val="0"/>
          <w:sz w:val="19"/>
        </w:rPr>
        <w:t>PUBLICATIONS</w:t>
      </w:r>
    </w:p>
    <w:p>
      <w:pPr>
        <w:spacing w:after="24" w:lineRule="exact" w:line="208"/>
        <w:ind w:left="259" w:hanging="259"/>
      </w:pPr>
      <w:r>
        <w:rPr>
          <w:sz w:val="18"/>
        </w:rPr>
        <w:t>• Co-author - "Hippo YAP/TAZ Signalling in Gastric Cancer Progression", Medical Oncology, Springer Nature (Q1-indexed): literature synthesis, evidence appraisal and scientific writing.</w:t>
      </w:r>
    </w:p>
    <w:p>
      <w:pPr>
        <w:spacing w:after="24" w:lineRule="exact" w:line="208"/>
        <w:ind w:left="259" w:hanging="259"/>
      </w:pPr>
      <w:r>
        <w:rPr>
          <w:sz w:val="18"/>
        </w:rPr>
        <w:t>• Book chapter - "Toxicokinetics &amp; Toxicodynamics", LPU Publication House: ADME principles, toxic dose-response relationships.</w:t>
      </w:r>
    </w:p>
    <w:p>
      <w:pPr>
        <w:spacing w:before="70" w:after="20"/>
        <w:pBdr>
          <w:bottom w:val="single" w:sz="6" w:space="1" w:color="000000"/>
        </w:pBdr>
      </w:pPr>
      <w:r>
        <w:rPr>
          <w:b/>
          <w:i w:val="0"/>
          <w:sz w:val="19"/>
        </w:rPr>
        <w:t>CERTIFICATIONS</w:t>
      </w:r>
    </w:p>
    <w:p>
      <w:pPr>
        <w:spacing w:after="24" w:lineRule="exact" w:line="208"/>
        <w:ind w:left="259" w:hanging="259"/>
      </w:pPr>
      <w:r>
        <w:rPr>
          <w:sz w:val="18"/>
        </w:rPr>
        <w:t>• Clinical Research &amp; Pharmacovigilance Certification - [Training Institute Name], Oct 2025</w:t>
      </w:r>
    </w:p>
    <w:p>
      <w:pPr>
        <w:spacing w:after="24" w:lineRule="exact" w:line="208"/>
        <w:ind w:left="259" w:hanging="259"/>
      </w:pPr>
      <w:r>
        <w:rPr>
          <w:sz w:val="18"/>
        </w:rPr>
        <w:t>• Medical Scribing &amp; Medical Coding (Nov 2025) and Applied Pharmacotherapeutics, Evidence-Based Approach (Aug 2025) - [Training Institute Name]</w:t>
      </w:r>
    </w:p>
    <w:p>
      <w:pPr>
        <w:spacing w:before="70" w:after="20"/>
        <w:pBdr>
          <w:bottom w:val="single" w:sz="6" w:space="1" w:color="000000"/>
        </w:pBdr>
      </w:pPr>
      <w:r>
        <w:rPr>
          <w:b/>
          <w:i w:val="0"/>
          <w:sz w:val="19"/>
        </w:rPr>
        <w:t>TRAININGS, WORKSHOPS &amp; CONFERENCES</w:t>
      </w:r>
    </w:p>
    <w:p>
      <w:pPr>
        <w:spacing w:after="24" w:lineRule="exact" w:line="208"/>
        <w:ind w:left="259" w:hanging="259"/>
      </w:pPr>
      <w:r>
        <w:rPr>
          <w:sz w:val="18"/>
        </w:rPr>
        <w:t>• Industrial Training, IND-SWIFT Limited - production, QA, GMP documentation and SOP systems.</w:t>
      </w:r>
    </w:p>
    <w:p>
      <w:pPr>
        <w:spacing w:after="24" w:lineRule="exact" w:line="208"/>
        <w:ind w:left="259" w:hanging="259"/>
      </w:pPr>
      <w:r>
        <w:rPr>
          <w:sz w:val="18"/>
        </w:rPr>
        <w:t>• Delegate, National Pharmacovigilance Week, Sept 2024 - current PV regulatory landscape, PvPI structure and ADR monitoring centre (AMC) reporting workflow in India.</w:t>
      </w:r>
    </w:p>
    <w:p>
      <w:pPr>
        <w:spacing w:after="24" w:lineRule="exact" w:line="208"/>
        <w:ind w:left="259" w:hanging="259"/>
      </w:pPr>
      <w:r>
        <w:rPr>
          <w:sz w:val="18"/>
        </w:rPr>
        <w:t>• Workshop on Ethics in Biomedical Research &amp; Meta-Analysis, Lovely Professional University (Aug 2024); participant, ICP 2024 and WeCARE 2025 scientific conferences.</w:t>
      </w:r>
    </w:p>
    <w:p>
      <w:pPr>
        <w:spacing w:before="70" w:after="20"/>
        <w:pBdr>
          <w:bottom w:val="single" w:sz="6" w:space="1" w:color="000000"/>
        </w:pBdr>
      </w:pPr>
      <w:r>
        <w:rPr>
          <w:b/>
          <w:i w:val="0"/>
          <w:sz w:val="19"/>
        </w:rPr>
        <w:t>ADDITIONAL INFORMATION</w:t>
      </w:r>
    </w:p>
    <w:p>
      <w:pPr>
        <w:spacing w:after="24" w:lineRule="exact" w:line="208"/>
        <w:ind w:left="259" w:hanging="259"/>
      </w:pPr>
      <w:r>
        <w:rPr>
          <w:sz w:val="18"/>
        </w:rPr>
        <w:t>• Notice period: [30/60/90 days or Immediate joiner]. Open to pan-India relocation (Hyderabad, Bengaluru, Chennai, Pune, Mumbai, Noida/Gurugram) and to rotational or night shifts supporting global PV operations. Languages: English (professional), Hindi (native).</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08"/>
    </w:pPr>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