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Parcial de concurrente 2015 recursantes - 1° Fecha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1 - Resolver con SEMÁFOROS la siguiente situación. En un torneo de arte hay P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Participantes que realizan una pintura cada uno. Al terminar dejan la pintura para ser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evaluada y luego esperan el resultado, lo imprimen y se retiran. Además existe un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Evaluador que evalúa las pinturas de acuerdo al orden en que las fueron terminando. El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Evaluador toma una pintura, la evalúa y le da la nota al participante correspondiente.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Nota: No se puede usar una estructura auxiliar para almacenar las notas de los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participantes. Maximizar la concurrencia.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2- Resolver con PASAJE DE MENSAJES SINCRÓNICO (PMS). En una estación de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comunicaciones se cuenta con 10 Radares, UNA Unidad de Detección, y UN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Reconocedor. Cada radar repetidamente detecta señales de radio durante 15 segundos y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le envía esos datos a la Unidad de Detección para que los analice. Los radares no deben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esperar ningún resultado (deben volver a tomar señales lo antes posible). La Unidad de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Detección, toma de a una las señales enviadas por los radares (según el orden de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llegada), realiza un preprocesamiento para limpiar la señal (simular esta operación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mediante la función PREPROCESAR(señal)) y envía el resultado al Reconocedor para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que termine de analizar la señal (simular esta operación mediante la función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ANALIZAR(señal)) y se queda esperando el resultado de este análisis para determinar el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resultado final. Nota: Maximizar la concurrencia.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