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258b3a924534157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Line Chart</w:t>
      </w:r>
    </w:p>
    <w:p>
      <w:pPr>
        <w:spacing w:after="200"/>
      </w:pPr>
      <w:r>
        <w:rPr>
          <w:lang w:val="en-CA"/>
          <w:sz w:val="30"/>
          <w:szCs w:val="30"/>
        </w:rPr>
        <w:t>Expenses(M$) for selected categories per country</w:t>
      </w:r>
    </w:p>
    <w:p>
      <w:pPr/>
      <w:r xmlns:w="http://schemas.openxmlformats.org/wordprocessingml/2006/main">
        <drawing xmlns="http://schemas.openxmlformats.org/wordprocessingml/2006/main">
          <wp:inline xmlns:wp="http://schemas.openxmlformats.org/drawingml/2006/wordprocessingDrawing">
            <wp:extent cx="5486400" cy="3200400"/>
            <wp:effectExtent l="0" t="0" r="19050" b="19050"/>
            <wp:docPr id="2" name="chart"/>
            <a:graphic xmlns:a="http://schemas.openxmlformats.org/drawingml/2006/main">
              <a:graphicData uri="http://schemas.openxmlformats.org/drawingml/2006/chart">
                <c:chart xmlns:p6="http://schemas.openxmlformats.org/officeDocument/2006/relationships" xmlns:c="http://schemas.openxmlformats.org/drawingml/2006/chart" p6:id="rId1"/>
              </a:graphicData>
            </a:graphic>
          </wp:inline>
        </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019dd4e11eb404a" /><Relationship Type="http://schemas.openxmlformats.org/officeDocument/2006/relationships/numbering" Target="/word/numbering.xml" Id="Ra3ea0f51ab5e4952" /><Relationship Type="http://schemas.openxmlformats.org/officeDocument/2006/relationships/settings" Target="/word/settings.xml" Id="R8958293a1dcc4671" /><Relationship Type="http://schemas.openxmlformats.org/officeDocument/2006/relationships/webSettings" Target="/word/webSettings.xml" Id="Re07732bbed3d4cbb" /><Relationship Type="http://schemas.openxmlformats.org/officeDocument/2006/relationships/chart" Target="/word/charts/chart1.xml" Id="rId1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0"/>
    <c:plotArea>
      <c:layout/>
      <c:lineChart xmlns:c="http://schemas.openxmlformats.org/drawingml/2006/chart">
        <c:grouping val="standard"/>
        <c:dLbls xmlns:c="http://schemas.openxmlformats.org/drawingml/2006/chart">
          <c:dLblPos val="ctr"/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axId xmlns:c="http://schemas.openxmlformats.org/drawingml/2006/chart" val="148921728"/>
        <c:axId xmlns:c="http://schemas.openxmlformats.org/drawingml/2006/chart" val="154227840"/>
        <c:ser>
          <c:idx val="1"/>
          <c:order val="1"/>
          <c:tx>
            <c:strRef>
              <c:f/>
              <c:strCache>
                <c:pt idx="0">
                  <c:v>Brazil</c:v>
                </c:pt>
              </c:strCache>
            </c:strRef>
          </c:tx>
          <c:spPr>
            <a:ln>
              <a:solidFill>
                <a:srgbClr val="FFFF00"/>
              </a:solidFill>
            </a:ln>
          </c:spPr>
          <c:invertIfNegative>0</c:invertIfNegative>
          <c:cat>
            <c:strRef>
              <c:f/>
              <c:strCache>
                <c:ptCount val="4"/>
                <c:pt idx="0">
                  <c:v>Food</c:v>
                </c:pt>
                <c:pt idx="1">
                  <c:v>Housing</c:v>
                </c:pt>
                <c:pt idx="2">
                  <c:v>Transportation</c:v>
                </c:pt>
                <c:pt idx="3">
                  <c:v>Health Care</c:v>
                </c:pt>
              </c:strCache>
            </c:strRef>
          </c:cat>
          <c:val>
            <c:numRef>
              <c:f/>
              <c:numCache>
                <c:formatCode>General</c:formatCode>
                <c:ptCount val="4"/>
                <c:pt idx="0">
                  <c:v>125</c:v>
                </c:pt>
                <c:pt idx="1">
                  <c:v>80</c:v>
                </c:pt>
                <c:pt idx="2">
                  <c:v>110</c:v>
                </c:pt>
                <c:pt idx="3">
                  <c:v>60</c:v>
                </c:pt>
              </c:numCache>
            </c:numRef>
          </c:val>
        </c:ser>
        <c:ser>
          <c:idx val="2"/>
          <c:order val="2"/>
          <c:tx>
            <c:strRef>
              <c:f/>
              <c:strCache>
                <c:pt idx="0">
                  <c:v>USA</c:v>
                </c:pt>
              </c:strCache>
            </c:strRef>
          </c:tx>
          <c:spPr>
            <a:ln>
              <a:solidFill>
                <a:srgbClr val="0000FF"/>
              </a:solidFill>
            </a:ln>
          </c:spPr>
          <c:invertIfNegative>0</c:invertIfNegative>
          <c:cat>
            <c:strRef>
              <c:f/>
              <c:strCache>
                <c:ptCount val="4"/>
                <c:pt idx="0">
                  <c:v>Food</c:v>
                </c:pt>
                <c:pt idx="1">
                  <c:v>Housing</c:v>
                </c:pt>
                <c:pt idx="2">
                  <c:v>Transportation</c:v>
                </c:pt>
                <c:pt idx="3">
                  <c:v>Health Care</c:v>
                </c:pt>
              </c:strCache>
            </c:strRef>
          </c:cat>
          <c:val>
            <c:numRef>
              <c:f/>
              <c:numCache>
                <c:formatCode>General</c:formatCode>
                <c:ptCount val="4"/>
                <c:pt idx="0">
                  <c:v>200</c:v>
                </c:pt>
                <c:pt idx="1">
                  <c:v>150</c:v>
                </c:pt>
                <c:pt idx="2">
                  <c:v>110</c:v>
                </c:pt>
                <c:pt idx="3">
                  <c:v>100</c:v>
                </c:pt>
              </c:numCache>
            </c:numRef>
          </c:val>
        </c:ser>
        <c:ser>
          <c:idx val="3"/>
          <c:order val="3"/>
          <c:tx>
            <c:strRef>
              <c:f/>
              <c:strCache>
                <c:pt idx="0">
                  <c:v>Canada</c:v>
                </c:pt>
              </c:strCache>
            </c:strRef>
          </c:tx>
          <c:spPr>
            <a:ln>
              <a:solidFill>
                <a:srgbClr val="FF0000"/>
              </a:solidFill>
            </a:ln>
          </c:spPr>
          <c:invertIfNegative>0</c:invertIfNegative>
          <c:cat>
            <c:strRef>
              <c:f/>
              <c:strCache>
                <c:ptCount val="4"/>
                <c:pt idx="0">
                  <c:v>Food</c:v>
                </c:pt>
                <c:pt idx="1">
                  <c:v>Housing</c:v>
                </c:pt>
                <c:pt idx="2">
                  <c:v>Transportation</c:v>
                </c:pt>
                <c:pt idx="3">
                  <c:v>Health Care</c:v>
                </c:pt>
              </c:strCache>
            </c:strRef>
          </c:cat>
          <c:val>
            <c:numRef>
              <c:f/>
              <c:numCache>
                <c:formatCode>General</c:formatCode>
                <c:ptCount val="4"/>
                <c:pt idx="0">
                  <c:v>100</c:v>
                </c:pt>
                <c:pt idx="1">
                  <c:v>120</c:v>
                </c:pt>
                <c:pt idx="2">
                  <c:v>140</c:v>
                </c:pt>
                <c:pt idx="3">
                  <c:v>150</c:v>
                </c:pt>
              </c:numCache>
            </c:numRef>
          </c:val>
        </c:ser>
      </c:lineChart>
      <c:catAx xmlns:c="http://schemas.openxmlformats.org/drawingml/2006/chart">
        <c:axId val="148921728"/>
        <c:scaling>
          <c:orientation val="minMax"/>
        </c:scaling>
        <c:delete val="0"/>
        <c:axPos val="b"/>
        <c:majorTickMark val="out"/>
        <c:minorTickMark val="none"/>
        <c:tickLblPos val="nextTo"/>
        <c:crossAx val="154227840"/>
        <c:crosses val="autoZero"/>
        <c:auto val="1"/>
        <c:lblAlgn val="ctr"/>
        <c:lblOffset val="100"/>
        <c:noMultiLvlLbl val="0"/>
      </c:catAx>
      <c:valAx xmlns:c="http://schemas.openxmlformats.org/drawingml/2006/chart">
        <c:axId val="154227840"/>
        <c:scaling>
          <c:orientation val="minMax"/>
        </c:scaling>
        <c:delete val="0"/>
        <c:axPos val="l"/>
        <c:numFmt sourceLinked="0" formatCode="General"/>
        <c:majorGridlines/>
        <c:majorTickMark val="out"/>
        <c:minorTickMark val="none"/>
        <c:tickLblPos val="nextTo"/>
        <c:crossAx val="148921728"/>
        <c:crosses val="autoZero"/>
        <c:crossBetween val="between"/>
      </c:valAx>
    </c:plotArea>
    <c:legend>
      <c:legendPos val="l"/>
      <c:overlay val="0"/>
    </c:legend>
    <c:plotVisOnly val="1"/>
    <c:dispBlanksAs val="gap"/>
    <c:showDLblsOverMax val="0"/>
  </c:chart>
</c:chartSpace>
</file>