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BED" w:rsidRDefault="00550BED" w:rsidP="00550BED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Solution 3) </w:t>
      </w:r>
      <w:proofErr w:type="gramStart"/>
      <w:r>
        <w:rPr>
          <w:color w:val="333333"/>
          <w:sz w:val="28"/>
          <w:szCs w:val="28"/>
        </w:rPr>
        <w:t>There</w:t>
      </w:r>
      <w:proofErr w:type="gramEnd"/>
      <w:r>
        <w:rPr>
          <w:color w:val="333333"/>
          <w:sz w:val="28"/>
          <w:szCs w:val="28"/>
        </w:rPr>
        <w:t xml:space="preserve"> is no application of M-N rule in the given ERD.</w:t>
      </w:r>
    </w:p>
    <w:p w:rsidR="000B619E" w:rsidRDefault="00550BED">
      <w:bookmarkStart w:id="0" w:name="_GoBack"/>
      <w:bookmarkEnd w:id="0"/>
    </w:p>
    <w:sectPr w:rsidR="000B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CC"/>
    <w:rsid w:val="00351ACC"/>
    <w:rsid w:val="00550BED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AB374-0013-4E22-8770-D2A91C20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2017-06-18T18:58:00Z</dcterms:created>
  <dcterms:modified xsi:type="dcterms:W3CDTF">2017-06-18T18:58:00Z</dcterms:modified>
</cp:coreProperties>
</file>