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List Paragraph"/>
        <w:numPr>
          <w:ilvl w:val="0"/>
          <w:numId w:val="2"/>
        </w:numPr>
        <w:rPr>
          <w:lang w:val="ru-RU"/>
        </w:rPr>
      </w:pPr>
      <w:r>
        <w:rPr>
          <w:rtl w:val="0"/>
          <w:lang w:val="ru-RU"/>
        </w:rPr>
        <w:t>Ипотека ЦБ – показатели рынка жилищного кредитования</w:t>
      </w:r>
      <w:r>
        <w:rPr>
          <w:rtl w:val="0"/>
          <w:lang w:val="ru-RU"/>
        </w:rPr>
        <w:t>:</w:t>
      </w:r>
    </w:p>
    <w:p>
      <w:pPr>
        <w:pStyle w:val="List Paragraph"/>
        <w:numPr>
          <w:ilvl w:val="1"/>
          <w:numId w:val="2"/>
        </w:numPr>
        <w:rPr>
          <w:lang w:val="ru-RU"/>
        </w:rPr>
      </w:pPr>
      <w:r>
        <w:rPr>
          <w:rtl w:val="0"/>
          <w:lang w:val="ru-RU"/>
        </w:rPr>
        <w:t>Региональный разрез</w:t>
      </w:r>
    </w:p>
    <w:p>
      <w:pPr>
        <w:pStyle w:val="List Paragraph"/>
        <w:numPr>
          <w:ilvl w:val="2"/>
          <w:numId w:val="2"/>
        </w:numPr>
        <w:rPr>
          <w:lang w:val="ru-RU"/>
        </w:rPr>
      </w:pPr>
      <w:r>
        <w:rPr>
          <w:rtl w:val="0"/>
          <w:lang w:val="ru-RU"/>
        </w:rPr>
        <w:t>Кол</w:t>
      </w:r>
      <w:r>
        <w:rPr>
          <w:rtl w:val="0"/>
          <w:lang w:val="ru-RU"/>
        </w:rPr>
        <w:t>-</w:t>
      </w:r>
      <w:r>
        <w:rPr>
          <w:rtl w:val="0"/>
          <w:lang w:val="ru-RU"/>
        </w:rPr>
        <w:t>во ипотечных кредитов</w:t>
      </w:r>
    </w:p>
    <w:p>
      <w:pPr>
        <w:pStyle w:val="List Paragraph"/>
        <w:numPr>
          <w:ilvl w:val="2"/>
          <w:numId w:val="2"/>
        </w:numPr>
        <w:rPr>
          <w:lang w:val="ru-RU"/>
        </w:rPr>
      </w:pPr>
      <w:r>
        <w:rPr>
          <w:rtl w:val="0"/>
          <w:lang w:val="ru-RU"/>
        </w:rPr>
        <w:t>Объем ипотечных кредитов</w:t>
      </w:r>
    </w:p>
    <w:p>
      <w:pPr>
        <w:pStyle w:val="List Paragraph"/>
        <w:numPr>
          <w:ilvl w:val="2"/>
          <w:numId w:val="2"/>
        </w:numPr>
        <w:rPr>
          <w:lang w:val="ru-RU"/>
        </w:rPr>
      </w:pPr>
      <w:r>
        <w:rPr>
          <w:rtl w:val="0"/>
          <w:lang w:val="ru-RU"/>
        </w:rPr>
        <w:t xml:space="preserve">Срок и ставка </w:t>
      </w:r>
      <w:r>
        <w:rPr>
          <w:rtl w:val="0"/>
          <w:lang w:val="ru-RU"/>
        </w:rPr>
        <w:t>-//-</w:t>
      </w:r>
    </w:p>
    <w:p>
      <w:pPr>
        <w:pStyle w:val="List Paragraph"/>
        <w:numPr>
          <w:ilvl w:val="2"/>
          <w:numId w:val="2"/>
        </w:numPr>
        <w:rPr>
          <w:lang w:val="ru-RU"/>
        </w:rPr>
      </w:pPr>
      <w:r>
        <w:rPr>
          <w:rtl w:val="0"/>
          <w:lang w:val="ru-RU"/>
        </w:rPr>
        <w:t>Кол</w:t>
      </w:r>
      <w:r>
        <w:rPr>
          <w:rtl w:val="0"/>
          <w:lang w:val="ru-RU"/>
        </w:rPr>
        <w:t>-</w:t>
      </w:r>
      <w:r>
        <w:rPr>
          <w:rtl w:val="0"/>
          <w:lang w:val="ru-RU"/>
        </w:rPr>
        <w:t>во ДДУ</w:t>
      </w:r>
    </w:p>
    <w:p>
      <w:pPr>
        <w:pStyle w:val="List Paragraph"/>
        <w:numPr>
          <w:ilvl w:val="2"/>
          <w:numId w:val="2"/>
        </w:numPr>
        <w:rPr>
          <w:lang w:val="ru-RU"/>
        </w:rPr>
      </w:pPr>
      <w:r>
        <w:rPr>
          <w:rtl w:val="0"/>
          <w:lang w:val="ru-RU"/>
        </w:rPr>
        <w:t>Объем ДДУ</w:t>
      </w:r>
    </w:p>
    <w:p>
      <w:pPr>
        <w:pStyle w:val="List Paragraph"/>
        <w:numPr>
          <w:ilvl w:val="2"/>
          <w:numId w:val="2"/>
        </w:numPr>
        <w:rPr>
          <w:lang w:val="ru-RU"/>
        </w:rPr>
      </w:pPr>
      <w:r>
        <w:rPr>
          <w:rtl w:val="0"/>
          <w:lang w:val="ru-RU"/>
        </w:rPr>
        <w:t>Срок и ставка ДДУ</w:t>
      </w:r>
    </w:p>
    <w:p>
      <w:pPr>
        <w:pStyle w:val="List Paragraph"/>
        <w:numPr>
          <w:ilvl w:val="0"/>
          <w:numId w:val="2"/>
        </w:numPr>
        <w:rPr>
          <w:lang w:val="ru-RU"/>
        </w:rPr>
      </w:pPr>
      <w:r>
        <w:rPr>
          <w:rtl w:val="0"/>
          <w:lang w:val="ru-RU"/>
        </w:rPr>
        <w:t>Единая отчетность по льготному ипотечному кредитованию – ДОМ</w:t>
      </w:r>
      <w:r>
        <w:rPr>
          <w:rtl w:val="0"/>
          <w:lang w:val="ru-RU"/>
        </w:rPr>
        <w:t>.</w:t>
      </w:r>
      <w:r>
        <w:rPr>
          <w:rtl w:val="0"/>
          <w:lang w:val="ru-RU"/>
        </w:rPr>
        <w:t>РФ</w:t>
      </w:r>
    </w:p>
    <w:p>
      <w:pPr>
        <w:pStyle w:val="List Paragraph"/>
        <w:numPr>
          <w:ilvl w:val="1"/>
          <w:numId w:val="2"/>
        </w:numPr>
        <w:rPr>
          <w:lang w:val="ru-RU"/>
        </w:rPr>
      </w:pPr>
      <w:r>
        <w:rPr>
          <w:rtl w:val="0"/>
          <w:lang w:val="ru-RU"/>
        </w:rPr>
        <w:t>Оперативная отчетность по ипотечному кредитованию</w:t>
      </w:r>
    </w:p>
    <w:p>
      <w:pPr>
        <w:pStyle w:val="List Paragraph"/>
        <w:numPr>
          <w:ilvl w:val="0"/>
          <w:numId w:val="2"/>
        </w:numPr>
        <w:rPr>
          <w:lang w:val="ru-RU"/>
        </w:rPr>
      </w:pPr>
      <w:r>
        <w:rPr>
          <w:rtl w:val="0"/>
          <w:lang w:val="ru-RU"/>
        </w:rPr>
        <w:t>Продома</w:t>
      </w:r>
      <w:r>
        <w:rPr>
          <w:rtl w:val="0"/>
          <w:lang w:val="ru-RU"/>
        </w:rPr>
        <w:t>.</w:t>
      </w:r>
      <w:r>
        <w:rPr>
          <w:rtl w:val="0"/>
          <w:lang w:val="ru-RU"/>
        </w:rPr>
        <w:t>дом</w:t>
      </w:r>
      <w:r>
        <w:rPr>
          <w:rtl w:val="0"/>
          <w:lang w:val="ru-RU"/>
        </w:rPr>
        <w:t>.</w:t>
      </w:r>
      <w:r>
        <w:rPr>
          <w:rtl w:val="0"/>
          <w:lang w:val="ru-RU"/>
        </w:rPr>
        <w:t xml:space="preserve">рф – логин – отчеты – Аналитика по ЖК </w:t>
      </w:r>
      <w:r>
        <w:rPr>
          <w:rtl w:val="0"/>
          <w:lang w:val="ru-RU"/>
        </w:rPr>
        <w:t>(</w:t>
      </w:r>
      <w:r>
        <w:rPr>
          <w:rtl w:val="0"/>
          <w:lang w:val="ru-RU"/>
        </w:rPr>
        <w:t>единственный доступный</w:t>
      </w:r>
      <w:r>
        <w:rPr>
          <w:rtl w:val="0"/>
          <w:lang w:val="ru-RU"/>
        </w:rPr>
        <w:t xml:space="preserve">) </w:t>
      </w:r>
      <w:r>
        <w:rPr>
          <w:rtl w:val="0"/>
          <w:lang w:val="ru-RU"/>
        </w:rPr>
        <w:t xml:space="preserve">– фильтр по Статусу </w:t>
      </w:r>
      <w:r>
        <w:rPr>
          <w:rtl w:val="0"/>
          <w:lang w:val="ru-RU"/>
        </w:rPr>
        <w:t>(</w:t>
      </w:r>
      <w:r>
        <w:rPr>
          <w:rtl w:val="0"/>
          <w:lang w:val="ru-RU"/>
        </w:rPr>
        <w:t>все статусы</w:t>
      </w:r>
      <w:r>
        <w:rPr>
          <w:rtl w:val="0"/>
          <w:lang w:val="ru-RU"/>
        </w:rPr>
        <w:t xml:space="preserve">) </w:t>
      </w:r>
      <w:r>
        <w:rPr>
          <w:rtl w:val="0"/>
          <w:lang w:val="ru-RU"/>
        </w:rPr>
        <w:t xml:space="preserve">– обновить </w:t>
      </w:r>
      <w:r>
        <w:rPr>
          <w:rtl w:val="0"/>
          <w:lang w:val="ru-RU"/>
        </w:rPr>
        <w:t>(</w:t>
      </w:r>
      <w:r>
        <w:rPr>
          <w:rtl w:val="0"/>
          <w:lang w:val="ru-RU"/>
        </w:rPr>
        <w:t>показать</w:t>
      </w:r>
      <w:r>
        <w:rPr>
          <w:rtl w:val="0"/>
          <w:lang w:val="ru-RU"/>
        </w:rPr>
        <w:t xml:space="preserve">) </w:t>
      </w:r>
      <w:r>
        <w:rPr>
          <w:rtl w:val="0"/>
          <w:lang w:val="ru-RU"/>
        </w:rPr>
        <w:t>– Выбрать периоды пол полгода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больше нельзя выбрать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обновляем за последний год инфу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То есть если обновляем по итогам августа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то выгружаем янв</w:t>
      </w:r>
      <w:r>
        <w:rPr>
          <w:rtl w:val="0"/>
          <w:lang w:val="ru-RU"/>
        </w:rPr>
        <w:t>-</w:t>
      </w:r>
      <w:r>
        <w:rPr>
          <w:rtl w:val="0"/>
          <w:lang w:val="ru-RU"/>
        </w:rPr>
        <w:t xml:space="preserve">июн </w:t>
      </w:r>
      <w:r>
        <w:rPr>
          <w:rtl w:val="0"/>
          <w:lang w:val="ru-RU"/>
        </w:rPr>
        <w:t xml:space="preserve">+ </w:t>
      </w:r>
      <w:r>
        <w:rPr>
          <w:rtl w:val="0"/>
          <w:lang w:val="ru-RU"/>
        </w:rPr>
        <w:t>июл</w:t>
      </w:r>
      <w:r>
        <w:rPr>
          <w:rtl w:val="0"/>
          <w:lang w:val="ru-RU"/>
        </w:rPr>
        <w:t>-</w:t>
      </w:r>
      <w:r>
        <w:rPr>
          <w:rtl w:val="0"/>
          <w:lang w:val="ru-RU"/>
        </w:rPr>
        <w:t xml:space="preserve">авг </w:t>
      </w:r>
      <w:r/>
    </w:p>
    <w:sectPr>
      <w:headerReference w:type="default" r:id="rId4"/>
      <w:footerReference w:type="default" r:id="rId5"/>
      <w:pgSz w:w="11900" w:h="16840" w:orient="portrait"/>
      <w:pgMar w:top="1134" w:right="850" w:bottom="1134" w:left="1701" w:header="708" w:footer="708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Calibri">
    <w:charset w:val="00"/>
    <w:family w:val="roman"/>
    <w:pitch w:val="default"/>
  </w:font>
  <w:font w:name="Courier New">
    <w:charset w:val="00"/>
    <w:family w:val="roman"/>
    <w:pitch w:val="default"/>
  </w:font>
  <w:font w:name="Wingdings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Колонтитулы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Колонтитулы"/>
      <w:bidi w:val="0"/>
    </w:pPr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Импортированный стиль 1"/>
  </w:abstractNum>
  <w:abstractNum w:abstractNumId="1">
    <w:multiLevelType w:val="hybridMultilevel"/>
    <w:styleLink w:val="Импортированный стиль 1"/>
    <w:lvl w:ilvl="0">
      <w:start w:val="1"/>
      <w:numFmt w:val="bullet"/>
      <w:suff w:val="tab"/>
      <w:lvlText w:val="·"/>
      <w:lvlJc w:val="left"/>
      <w:pPr>
        <w:ind w:left="72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o"/>
      <w:lvlJc w:val="left"/>
      <w:pPr>
        <w:ind w:left="1440" w:hanging="360"/>
      </w:pPr>
      <w:rPr>
        <w:rFonts w:ascii="Courier New" w:cs="Courier New" w:hAnsi="Courier New" w:eastAsia="Courier New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ind w:left="21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•"/>
      <w:lvlJc w:val="left"/>
      <w:pPr>
        <w:ind w:left="288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o"/>
      <w:lvlJc w:val="left"/>
      <w:pPr>
        <w:ind w:left="3600" w:hanging="360"/>
      </w:pPr>
      <w:rPr>
        <w:rFonts w:ascii="Wingdings" w:cs="Wingdings" w:hAnsi="Wingdings" w:eastAsia="Wingding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ind w:left="432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ind w:left="504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o"/>
      <w:lvlJc w:val="left"/>
      <w:pPr>
        <w:ind w:left="5760" w:hanging="360"/>
      </w:pPr>
      <w:rPr>
        <w:rFonts w:ascii="Wingdings" w:cs="Wingdings" w:hAnsi="Wingdings" w:eastAsia="Wingding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ind w:left="648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08"/>
  <w:autoHyphenation w:val="0"/>
  <w:evenAndOddHeaders w:val="0"/>
  <w:bookFoldPrinting w:val="0"/>
  <w:noLineBreaksAfter w:lang="русский" w:val="‘“(〔[{〈《「『【⦅〘〖«〝︵︷︹︻︽︿﹁﹃﹇﹙﹛﹝｢"/>
  <w:noLineBreaksBefore w:lang="русский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Колонтитулы">
    <w:name w:val="Колонтитулы"/>
    <w:next w:val="Колонтитулы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List Paragraph">
    <w:name w:val="List Paragraph"/>
    <w:next w:val="List Paragraph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160" w:line="259" w:lineRule="auto"/>
      <w:ind w:left="720" w:right="0" w:firstLine="0"/>
      <w:jc w:val="left"/>
      <w:outlineLvl w:val="9"/>
    </w:pPr>
    <w:rPr>
      <w:rFonts w:ascii="Calibri" w:cs="Arial Unicode MS" w:hAnsi="Calibri" w:eastAsia="Arial Unicode MS" w:hint="default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ru-RU"/>
      <w14:textFill>
        <w14:solidFill>
          <w14:srgbClr w14:val="000000"/>
        </w14:solidFill>
      </w14:textFill>
    </w:rPr>
  </w:style>
  <w:style w:type="numbering" w:styleId="Импортированный стиль 1">
    <w:name w:val="Импортированный стиль 1"/>
    <w:pPr>
      <w:numPr>
        <w:numId w:val="1"/>
      </w:numPr>
    </w:p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Тема Offic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000FF"/>
      </a:hlink>
      <a:folHlink>
        <a:srgbClr val="FF00FF"/>
      </a:folHlink>
    </a:clrScheme>
    <a:fontScheme name="Тема Offic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Тема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libri"/>
            <a:ea typeface="Calibri"/>
            <a:cs typeface="Calibri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libri"/>
            <a:ea typeface="Calibri"/>
            <a:cs typeface="Calibri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