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Прогнозы банков по ипотеке: описание и основные выводы</w:t>
      </w:r>
    </w:p>
    <w:p>
      <w:r>
        <w:rPr>
          <w:i/>
        </w:rPr>
        <w:t>Сопроводительная записка к файлу «Прогнозы банков по ипотеке.xlsx / .csv»</w:t>
      </w:r>
    </w:p>
    <w:p>
      <w:r>
        <w:rPr>
          <w:i/>
        </w:rPr>
        <w:t>Дата составления: 16.09.2026</w:t>
      </w:r>
    </w:p>
    <w:p/>
    <w:p>
      <w:pPr>
        <w:pStyle w:val="Heading1"/>
      </w:pPr>
      <w:r>
        <w:rPr>
          <w:color w:val="1F3A5F"/>
        </w:rPr>
        <w:t>1. О таблице</w:t>
      </w:r>
    </w:p>
    <w:p>
      <w:r>
        <w:t>Таблица собирает прогнозы и фактические данные по российскому ипотечному рынку на 2026–2027 годы из первичных источников: официальных документов Банка России и Минфина, аналитических отчётов рейтинговых агентств (НКР, Эксперт РА), собственных публикаций банков и их аналитических центров (Сбербанк/Домклик, ВТБ, SberCIB, ДОМ.РФ), а также прямых цитат представителей банков на публичных мероприятиях, зафиксированных деловыми СМИ (Коммерсантъ, Интерфакс, Ведомости, РИА Недвижимость, Frank RG).</w:t>
      </w:r>
    </w:p>
    <w:p>
      <w:r>
        <w:t>Принцип отбора источников — только первичные: пресс-центры банков и ведомств, собственные исследования агентств, официальные документы ЦБ РФ. Материалы СМИ используются только тогда, когда они фиксируют дословную цитату конкретного представителя банка на публичном мероприятии (конференции, форуме, церемонии награждения) — в таких случаях это явно указано в колонке «Тип источника».</w:t>
      </w:r>
    </w:p>
    <w:p>
      <w:pPr>
        <w:pStyle w:val="Heading2"/>
      </w:pPr>
      <w:r>
        <w:rPr>
          <w:color w:val="1F3A5F"/>
        </w:rPr>
        <w:t>Структура файла</w:t>
      </w:r>
    </w:p>
    <w:p>
      <w:pPr>
        <w:pStyle w:val="ListBullet"/>
      </w:pPr>
      <w:r>
        <w:rPr>
          <w:b/>
        </w:rPr>
        <w:t xml:space="preserve">Ипотечные ставки и объёмы — </w:t>
      </w:r>
      <w:r>
        <w:t>Прогнозы ставок и объёмов выдачи ипотеки по банкам и агентствам, включая раздельный учёт рыночной ставки (без господдержки) и средневзвешенной ставки с учётом субсидированных программ — это две разные величины, которые нельзя сравнивать напрямую.</w:t>
      </w:r>
    </w:p>
    <w:p>
      <w:pPr>
        <w:pStyle w:val="ListBullet"/>
      </w:pPr>
      <w:r>
        <w:rPr>
          <w:b/>
        </w:rPr>
        <w:t xml:space="preserve">Льготная ипотека — </w:t>
      </w:r>
      <w:r>
        <w:t>Условия и бюджет программ господдержки (в первую очередь «Семейная ипотека»), динамика доли льготных программ в общих выдачах, объявленные и вступившие в силу ужесточения условий.</w:t>
      </w:r>
    </w:p>
    <w:p>
      <w:pPr>
        <w:pStyle w:val="ListBullet"/>
      </w:pPr>
      <w:r>
        <w:rPr>
          <w:b/>
        </w:rPr>
        <w:t xml:space="preserve">Ключевая ставка ЦБ (справочно) — </w:t>
      </w:r>
      <w:r>
        <w:t>Официальные сценарии ключевой ставки ЦБ РФ на 2026–2029 годы и допущения по ключевой ставке, на которых банки и агентства строят собственные прогнозы по ипотеке. Приведено как справочный фон, а не как основной предмет таблицы.</w:t>
      </w:r>
    </w:p>
    <w:p>
      <w:pPr>
        <w:pStyle w:val="Heading2"/>
      </w:pPr>
      <w:r>
        <w:rPr>
          <w:color w:val="1F3A5F"/>
        </w:rPr>
        <w:t>Проверка достоверности</w:t>
      </w:r>
    </w:p>
    <w:p>
      <w:r>
        <w:t>Все данные в таблице сверены построчно с текстом первоисточников (включая скачивание и разбор двух PDF НКР и ДОМ.РФ/ЕРЗ). В ходе проверки исправлены 4 неточности, обнаруженные в данных, добавленных в таблицу до текущей ревизии: неверная ссылка на исследование Эксперт РА, перепутанные местами месяцы в цифрах по ИЖС Сбербанка, ошибочная атрибуция прогноза ставки агентству Frank RG (на деле это цитата представителя ПСБ на мероприятии Frank RG), и ссылка на портал наш.дом.рф в нерабочем кириллическом формате вместо punycode.</w:t>
      </w:r>
    </w:p>
    <w:p>
      <w:r>
        <w:rPr>
          <w:b/>
        </w:rPr>
        <w:t xml:space="preserve">Ограничения доступа: </w:t>
      </w:r>
      <w:r>
        <w:t>четыре ссылки в таблице (два материала blog.domclick.ru, один — tass.ru, один — sberbank.ru) не открываются автоматическими инструментами проверки из-за анти-бот защиты сайтов или из-за того, что sberbank.ru требует установленный в браузере корневой сертификат Минцифры России. Для живого пользователя в обычном браузере (особенно с установленными российскими сертификатами) эти ссылки должны открываться нормально; содержание этих материалов подтверждено окольными способами (дословные перепечатки в независимых региональных СМИ и т.п.), где это было возможно.</w:t>
      </w:r>
    </w:p>
    <w:p/>
    <w:p>
      <w:pPr>
        <w:pStyle w:val="Heading1"/>
      </w:pPr>
      <w:r>
        <w:rPr>
          <w:color w:val="1F3A5F"/>
        </w:rPr>
        <w:t>2. Основные выводы</w:t>
      </w:r>
    </w:p>
    <w:p>
      <w:pPr>
        <w:pStyle w:val="Heading2"/>
      </w:pPr>
      <w:r>
        <w:rPr>
          <w:color w:val="1F3A5F"/>
        </w:rPr>
        <w:t>2.1. Объём рынка ипотеки в 2026 году: прогнозы сходятся к 4,6–5,1 трлн руб.</w:t>
      </w:r>
    </w:p>
    <w:p>
      <w:r>
        <w:t>В начале года прогнозы были заметно выше и расходились сильнее: Сбербанк первоначально ориентировался на 5,6 трлн руб. (+40% г/г), НКР — на 4,7–5,1 трлн руб., ДОМ.РФ — на 4,6–5,5 трлн руб. По мере ужесточения условий «Семейной ипотеки» с 1 февраля 2026 года прогнозы синхронно снижались: Сбербанк/Домклик пересмотрел оценку до 4,9–5 трлн руб. (данные Интерфакса и Коммерсанта от 10.04.2026), при этом внутри прогноза выросла доля именно рыночной ипотеки (с 1,8 до ~2 трлн руб.) за счёт сокращения доли господдержки (с 3,8 до ~2,9 трлн руб.).</w:t>
      </w:r>
    </w:p>
    <w:p>
      <w:r>
        <w:t>ВТБ (Р. Шаехов, ВЭФ-2026, 02.09.2026) даёт наиболее оптимистичную оценку по рыночному сегменту: рост выдач рыночной ипотеки в 2,5 раза к 2025 году, до ~2,4 трлн руб., при одновременном снижении объёма льготных программ с ~3,5 до ~2,8 трлн руб. Это подтверждает общий тренд — рост рынка в 2026 году обеспечивается не общим расширением ипотеки, а замещением льготных выдач рыночными.</w:t>
      </w:r>
    </w:p>
    <w:p>
      <w:pPr>
        <w:pStyle w:val="Heading2"/>
      </w:pPr>
      <w:r>
        <w:rPr>
          <w:color w:val="1F3A5F"/>
        </w:rPr>
        <w:t>2.2. Рыночная ставка снижается медленнее, чем ожидали аналитики в начале года</w:t>
      </w:r>
    </w:p>
    <w:p>
      <w:r>
        <w:t>В январе 2026 года Эксперт РА (Е. Щурихина) прогнозировала снижение рыночной ставки к концу года до 15% при ускоренном смягчении денежно-кредитной политики во втором полугодии; ПСБ в ноябре 2025 года ожидал диапазон 14,5–15% при ключевой ставке 13–14%. Фактические данные на конец августа 2026 года (портал ДОМ.РФ, наш.дом.рф) показывают ставки заметно выше этих ранних ожиданий: новостройки — 18,73%, вторичный рынок — 18,68%, рефинансирование — 18,41%, при этом ключевая ставка ЦБ на 03.09.2026 составляла 14% — то есть спред между ключевой и рыночной ипотечной ставкой остаётся значительным (около 4–5 п.п.).</w:t>
      </w:r>
    </w:p>
    <w:p>
      <w:r>
        <w:t>Руководитель Центра финансовой аналитики Сбербанка М. Матовников (апрель 2026) прямо называл уровень ~15% «перспективой не раньше 2027 года», а не текущего года — эта оценка ближе к фактической динамике, чем более ранние январские/ноябрьские прогнозы.</w:t>
      </w:r>
    </w:p>
    <w:p>
      <w:pPr>
        <w:pStyle w:val="Heading2"/>
      </w:pPr>
      <w:r>
        <w:rPr>
          <w:color w:val="1F3A5F"/>
        </w:rPr>
        <w:t>2.3. Средневзвешенная ставка «с учётом господдержки» — другая величина, и она заметно ниже</w:t>
      </w:r>
    </w:p>
    <w:p>
      <w:r>
        <w:t>НКР фиксирует отдельную метрику — средневзвешенную ставку по всем новым кредитам, включая субсидированные программы: факт апреля 2026 года — 10,3% (максимум с 2019 года), прогноз на конец 2026 года — 10,5–11,5%. Рост этой ставки, по оценке НКР, объясняется не удорожанием кредита как такового, а сокращением доли дешёвых льготных программ в структуре выдач — то есть эффектом состава, а не собственно ростом ставок.</w:t>
      </w:r>
    </w:p>
    <w:p>
      <w:pPr>
        <w:pStyle w:val="Heading2"/>
      </w:pPr>
      <w:r>
        <w:rPr>
          <w:color w:val="1F3A5F"/>
        </w:rPr>
        <w:t>2.4. Доля льготной ипотеки прошла пик в 2025 году и быстро снижается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Период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Доля льготных программ в новых выдачах (НКР)</w:t>
            </w:r>
          </w:p>
        </w:tc>
      </w:tr>
      <w:tr>
        <w:tc>
          <w:tcPr>
            <w:tcW w:type="dxa" w:w="4320"/>
          </w:tcPr>
          <w:p>
            <w:r>
              <w:t>2023 (факт)</w:t>
            </w:r>
          </w:p>
        </w:tc>
        <w:tc>
          <w:tcPr>
            <w:tcW w:type="dxa" w:w="4320"/>
          </w:tcPr>
          <w:p>
            <w:r>
              <w:t>62%</w:t>
            </w:r>
          </w:p>
        </w:tc>
      </w:tr>
      <w:tr>
        <w:tc>
          <w:tcPr>
            <w:tcW w:type="dxa" w:w="4320"/>
          </w:tcPr>
          <w:p>
            <w:r>
              <w:t>2024 (факт)</w:t>
            </w:r>
          </w:p>
        </w:tc>
        <w:tc>
          <w:tcPr>
            <w:tcW w:type="dxa" w:w="4320"/>
          </w:tcPr>
          <w:p>
            <w:r>
              <w:t>73%</w:t>
            </w:r>
          </w:p>
        </w:tc>
      </w:tr>
      <w:tr>
        <w:tc>
          <w:tcPr>
            <w:tcW w:type="dxa" w:w="4320"/>
          </w:tcPr>
          <w:p>
            <w:r>
              <w:t>2025 (факт, пик)</w:t>
            </w:r>
          </w:p>
        </w:tc>
        <w:tc>
          <w:tcPr>
            <w:tcW w:type="dxa" w:w="4320"/>
          </w:tcPr>
          <w:p>
            <w:r>
              <w:t>82%</w:t>
            </w:r>
          </w:p>
        </w:tc>
      </w:tr>
      <w:tr>
        <w:tc>
          <w:tcPr>
            <w:tcW w:type="dxa" w:w="4320"/>
          </w:tcPr>
          <w:p>
            <w:r>
              <w:t>Февраль 2026 (факт, до ужесточения)</w:t>
            </w:r>
          </w:p>
        </w:tc>
        <w:tc>
          <w:tcPr>
            <w:tcW w:type="dxa" w:w="4320"/>
          </w:tcPr>
          <w:p>
            <w:r>
              <w:t>&gt;80%</w:t>
            </w:r>
          </w:p>
        </w:tc>
      </w:tr>
      <w:tr>
        <w:tc>
          <w:tcPr>
            <w:tcW w:type="dxa" w:w="4320"/>
          </w:tcPr>
          <w:p>
            <w:r>
              <w:t>Март 2026 (факт, после ужесточения с 1.02.2026)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  <w:tr>
        <w:tc>
          <w:tcPr>
            <w:tcW w:type="dxa" w:w="4320"/>
          </w:tcPr>
          <w:p>
            <w:r>
              <w:t>Конец 2026 (прогноз НКР)</w:t>
            </w:r>
          </w:p>
        </w:tc>
        <w:tc>
          <w:tcPr>
            <w:tcW w:type="dxa" w:w="4320"/>
          </w:tcPr>
          <w:p>
            <w:r>
              <w:t>50% — впервые за 4 года</w:t>
            </w:r>
          </w:p>
        </w:tc>
      </w:tr>
    </w:tbl>
    <w:p/>
    <w:p>
      <w:r>
        <w:t>Разворот тренда произошёл резко и синхронно с вступлением в силу ужесточений «Семейной ипотеки» 1 февраля 2026 года: ставка для семей с 1–2 детьми повышена с 6% до 10–12%, введено правило «одна семья — один льготный кредит», ограничена сумма кредита, а с апреля/июля 2026 года банки обязаны учитывать официальные данные ФНС/СФР о доходах заёмщика. Это отражается и на стороне конкретных банков: Сбербанк (А. Лейпи) ожидает сокращения объёма «Семейной ипотеки» на 7–20% к уровню 2025 года, ВТБ прогнозирует снижение объёма льготных программ с ~3,5 до ~2,8 трлн руб. за 2026 год.</w:t>
      </w:r>
    </w:p>
    <w:p>
      <w:r>
        <w:t>Минфин фиксирует тот же тренд на уровне бюджета: ассигнования на субсидирование «Семейной ипотеки» снижаются почти вдвое за два года — с 637,0 млрд руб. в 2025 году до 454,1 млрд в 2026-м и 358,3 млрд в 2027-м.</w:t>
      </w:r>
    </w:p>
    <w:p>
      <w:pPr>
        <w:pStyle w:val="Heading2"/>
      </w:pPr>
      <w:r>
        <w:rPr>
          <w:color w:val="1F3A5F"/>
        </w:rPr>
        <w:t>2.5. Качество ипотечных заёмщиков заметно выросло</w:t>
      </w:r>
    </w:p>
    <w:p>
      <w:r>
        <w:t>По данным НКР, доля новых выдач с показателем долговой нагрузки (ПДН) свыше 80% упала с 33% (два года назад) до 6% (год назад) и до 4% в I квартале 2026 года — прямое следствие ужесточения регуляторных требований и роста доли рыночных, более консервативно андеррайтируемых кредитов.</w:t>
      </w:r>
    </w:p>
    <w:p>
      <w:pPr>
        <w:pStyle w:val="Heading2"/>
      </w:pPr>
      <w:r>
        <w:rPr>
          <w:color w:val="1F3A5F"/>
        </w:rPr>
        <w:t>2.6. Прогнозы на 2027 год: рынок ждёт продолжения нормализации</w:t>
      </w:r>
    </w:p>
    <w:p>
      <w:r>
        <w:t>Данных на 2027 год в первичных источниках заметно меньше, чем на 2026-й, и часть из них — более старые прогнозы, которые могли быть скорректированы. Тем не менее общее направление у всех источников совпадает:</w:t>
      </w:r>
    </w:p>
    <w:p>
      <w:pPr>
        <w:pStyle w:val="ListBullet"/>
      </w:pPr>
      <w:r>
        <w:t>Рыночная ставка по ипотеке снизится до уровня ниже 15% («более реалистичный сценарий» Аналитического центра ДОМ.РФ, 15.09.2026) или до ~10,5% (более ранний и, вероятно, оптимистичный прогноз ДОМ.РФ от 29.07.2025).</w:t>
      </w:r>
    </w:p>
    <w:p>
      <w:pPr>
        <w:pStyle w:val="ListBullet"/>
      </w:pPr>
      <w:r>
        <w:t>Рыночная (нельготная) ипотека впервые может обогнать по доле программы господдержки: НКР ожидает долю рыночных программ не менее 50% с продолжением роста, Домклик (А. Лейпи, 25.06.2026) допускает, что доля рыночного кредитования при покупке новостроек в 2027 году превысит долю льготных программ (против 60% льготных в июне 2026 года).</w:t>
      </w:r>
    </w:p>
    <w:p>
      <w:pPr>
        <w:pStyle w:val="ListBullet"/>
      </w:pPr>
      <w:r>
        <w:t>Объём рынка, по более раннему прогнозу ДОМ.РФ, может вырасти до 6,5–7,3 трлн руб. (1,6–1,8 млн кредитов) — заметный рост к прогнозу на 2026 год (5,1–5,5 трлн), хотя эта оценка требует осторожности из-за давности публикации.</w:t>
      </w:r>
    </w:p>
    <w:p>
      <w:pPr>
        <w:pStyle w:val="ListBullet"/>
      </w:pPr>
      <w:r>
        <w:t>Официальный прогноз ЦБ РФ по росту ипотечного портфеля на 2027 год был понижен с 10–15% до 7–12% (обновление от 24.07.2026) — регулятор смотрит на 2027 год несколько менее оптимистично, чем раньше в этом же году.</w:t>
      </w:r>
    </w:p>
    <w:p>
      <w:pPr>
        <w:pStyle w:val="ListBullet"/>
      </w:pPr>
      <w:r>
        <w:t>Базовый сценарий ЦБ по ключевой ставке на 2027 год — 10,5–12,5% в среднем за год, с разбросом сценариев от 9% (дезинфляционный) до 21% (рисковый) — это создаёт широкий диапазон возможных исходов и для ипотечных ставок.</w:t>
      </w:r>
    </w:p>
    <w:p>
      <w:pPr>
        <w:pStyle w:val="Heading2"/>
      </w:pPr>
      <w:r>
        <w:rPr>
          <w:color w:val="1F3A5F"/>
        </w:rPr>
        <w:t>2.7. Ключевой методологический момент: не путать метрики между собой</w:t>
      </w:r>
    </w:p>
    <w:p>
      <w:r>
        <w:t>При сопоставлении цифр из разных источников важно не путать: (а) рыночную ставку без субсидий и средневзвешенную ставку с учётом льготных программ — они могут отличаться на 5–8 п.п. в один и тот же момент времени; (б) объём выдач всего рынка и объём выдач одного банка (например, Сбербанка или ВТБ) — Сбербанк занимает существенную, но не подавляющую долю рынка; (в) факт и прогноз — часть строк таблицы описывает уже случившееся, часть — ожидания на будущее, это явно разведено в колонке «Период».</w:t>
      </w:r>
    </w:p>
    <w:p/>
    <w:p>
      <w:pPr>
        <w:pStyle w:val="Heading1"/>
      </w:pPr>
      <w:r>
        <w:rPr>
          <w:color w:val="1F3A5F"/>
        </w:rPr>
        <w:t>3. Как читать таблицу</w:t>
      </w:r>
    </w:p>
    <w:p>
      <w:r>
        <w:t>Каждая строка таблицы — это одно заявление или одна цифра из одного источника. Колонка «Период» указывает, к какому моменту/интервалу времени относится само значение (факт или прогноз), а колонка «Дата публикации» — когда вышел документ или было сделано заявление. Колонка «Тип источника» явно помечает характер источника (собственное исследование, официальный документ, прямая цитата на мероприятии и т.д.), а колонка «Ссылка на первоисточник» ведёт на исходный материал для самостоятельной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