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7.jpg" ContentType="image/jpeg"/>
  <Override PartName="/word/media/rId3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Here write your title</w:t>
      </w:r>
    </w:p>
    <w:p>
      <w:pPr>
        <w:pStyle w:val="Author"/>
      </w:pPr>
      <w:r>
        <w:t xml:space="preserve">author_1</w:t>
      </w:r>
      <w:r>
        <w:rPr>
          <w:vertAlign w:val="superscript"/>
        </w:rPr>
        <w:t xml:space="preserve">*,1,✉</w:t>
      </w:r>
      <w:r>
        <w:t xml:space="preserve">, author_2</w:t>
      </w:r>
      <w:r>
        <w:rPr>
          <w:vertAlign w:val="superscript"/>
        </w:rPr>
        <w:t xml:space="preserve">*,1,3</w:t>
      </w:r>
      <w:r>
        <w:t xml:space="preserve">, and author_3</w:t>
      </w:r>
      <w:r>
        <w:rPr>
          <w:vertAlign w:val="superscript"/>
        </w:rPr>
        <w:t xml:space="preserve">2</w:t>
      </w:r>
    </w:p>
    <w:p>
      <w:pPr>
        <w:pStyle w:val="FirstParagraph"/>
      </w:pPr>
      <w:r>
        <w:rPr>
          <w:vertAlign w:val="superscript"/>
        </w:rPr>
        <w:t xml:space="preserve">*</w:t>
      </w:r>
      <w:r>
        <w:t xml:space="preserve"> </w:t>
      </w:r>
      <w:r>
        <w:t xml:space="preserve">These authors contributed equally to this work.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1, Institution 1, City 1, Country 1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Department 2, Institution 2, City 2, Country 2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Current address: Department 3, Institution 3, City 3, Country 3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17">
        <w:r>
          <w:rPr>
            <w:rStyle w:val="Hyperlink"/>
          </w:rPr>
          <w:t xml:space="preserve">author_1 &lt;author_1@example.com&gt;</w:t>
        </w:r>
      </w:hyperlink>
    </w:p>
    <w:p>
      <w:r>
        <w:br w:type="page"/>
      </w:r>
    </w:p>
    <w:bookmarkStart w:id="18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Write your abstract here.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keyword_1; keyword_2; keyword_3</w:t>
      </w:r>
    </w:p>
    <w:p>
      <w:r>
        <w:br w:type="page"/>
      </w:r>
    </w:p>
    <w:bookmarkEnd w:id="18"/>
    <w:bookmarkStart w:id="1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Write highlight 1 here.</w:t>
      </w:r>
    </w:p>
    <w:p>
      <w:pPr>
        <w:pStyle w:val="Compact"/>
        <w:numPr>
          <w:ilvl w:val="0"/>
          <w:numId w:val="1001"/>
        </w:numPr>
      </w:pPr>
      <w:r>
        <w:t xml:space="preserve">Write highlight 2 here.</w:t>
      </w:r>
    </w:p>
    <w:p>
      <w:pPr>
        <w:pStyle w:val="Compact"/>
        <w:numPr>
          <w:ilvl w:val="0"/>
          <w:numId w:val="1001"/>
        </w:numPr>
      </w:pPr>
      <w:r>
        <w:t xml:space="preserve">Write highlight 3 here.</w:t>
      </w:r>
    </w:p>
    <w:p>
      <w:r>
        <w:br w:type="page"/>
      </w:r>
    </w:p>
    <w:bookmarkEnd w:id="19"/>
    <w:bookmarkStart w:id="20" w:name="sec-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Write your introduction here.</w:t>
      </w:r>
    </w:p>
    <w:p>
      <w:pPr>
        <w:pStyle w:val="BodyText"/>
      </w:pPr>
      <w:r>
        <w:t xml:space="preserve">Use parenthetical citations such as</w:t>
      </w:r>
      <w:r>
        <w:t xml:space="preserve"> </w:t>
      </w:r>
      <w:r>
        <w:t xml:space="preserve">(Chen et al., 2024)</w:t>
      </w:r>
      <w:r>
        <w:t xml:space="preserve">, narrative citations such as</w:t>
      </w:r>
      <w:r>
        <w:t xml:space="preserve"> </w:t>
      </w:r>
      <w:r>
        <w:t xml:space="preserve">Ma, Crespo Tapia, et al. (2024)</w:t>
      </w:r>
      <w:r>
        <w:t xml:space="preserve">, and multiple citations such as</w:t>
      </w:r>
      <w:r>
        <w:t xml:space="preserve"> </w:t>
      </w:r>
      <w:r>
        <w:t xml:space="preserve">(Ma, Crespo Tapia, et al., 2024; Ma, Tempelaars, et al., 2024; Ren et al., 2025)</w:t>
      </w:r>
      <w:r>
        <w:t xml:space="preserve">. Replace these example citations with sources relevant to your manuscript.</w:t>
      </w:r>
    </w:p>
    <w:bookmarkEnd w:id="20"/>
    <w:bookmarkStart w:id="26" w:name="sec-materials-methods"/>
    <w:p>
      <w:pPr>
        <w:pStyle w:val="Heading1"/>
      </w:pPr>
      <w:r>
        <w:t xml:space="preserve">2. Materials and Methods</w:t>
      </w:r>
    </w:p>
    <w:p>
      <w:pPr>
        <w:pStyle w:val="FirstParagraph"/>
      </w:pPr>
      <w:r>
        <w:t xml:space="preserve">Describe the materials and analysis methods here.</w:t>
      </w:r>
    </w:p>
    <w:bookmarkStart w:id="24" w:name="sec-materials-methods-1"/>
    <w:p>
      <w:pPr>
        <w:pStyle w:val="Heading2"/>
      </w:pPr>
      <w:r>
        <w:t xml:space="preserve">2.1 Method subsection 1</w:t>
      </w:r>
    </w:p>
    <w:p>
      <w:pPr>
        <w:pStyle w:val="FirstParagraph"/>
      </w:pPr>
      <w:r>
        <w:t xml:space="preserve">Write the first method subsection here.</w:t>
      </w:r>
    </w:p>
    <w:p>
      <w:pPr>
        <w:pStyle w:val="BodyText"/>
      </w:pPr>
      <w:r>
        <w:t xml:space="preserve">A table can be included with Markdown style (</w:t>
      </w:r>
      <w:hyperlink w:anchor="tbl-example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static table.</w:t>
            </w:r>
          </w:p>
          <w:tbl>
            <w:tblPr>
              <w:tblStyle w:val="ThreeLin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Sample 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12.8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A table generated from R can also be included, such as</w:t>
      </w:r>
      <w:r>
        <w:t xml:space="preserve"> </w:t>
      </w:r>
      <w:hyperlink w:anchor="tbl-r-example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Example table generated from R.</w:t>
            </w:r>
          </w:p>
          <w:tbl>
            <w:tblPr>
              <w:tblStyle w:val="ThreeLin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sample_size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12.8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A table generated from Python can also be included, such as</w:t>
      </w:r>
      <w:r>
        <w:t xml:space="preserve"> </w:t>
      </w:r>
      <w:hyperlink w:anchor="tbl-python-example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python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 table generated from Python.</w:t>
            </w:r>
          </w:p>
          <w:tbl>
            <w:tblPr>
              <w:tblStyle w:val="ThreeLin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sample_size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control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12.8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An appendix table and figure can be referenced as</w:t>
      </w:r>
      <w:r>
        <w:t xml:space="preserve"> </w:t>
      </w:r>
      <w:hyperlink w:anchor="tbls-appendix-example">
        <w:r>
          <w:rPr>
            <w:rStyle w:val="Hyperlink"/>
          </w:rPr>
          <w:t xml:space="preserve">Table A.1</w:t>
        </w:r>
      </w:hyperlink>
      <w:r>
        <w:t xml:space="preserve"> </w:t>
      </w:r>
      <w:r>
        <w:t xml:space="preserve">and</w:t>
      </w:r>
      <w:r>
        <w:t xml:space="preserve"> </w:t>
      </w:r>
      <w:hyperlink w:anchor="figs-appendix-example">
        <w:r>
          <w:rPr>
            <w:rStyle w:val="Hyperlink"/>
          </w:rPr>
          <w:t xml:space="preserve">Figure A.1</w:t>
        </w:r>
      </w:hyperlink>
      <w:r>
        <w:t xml:space="preserve">.</w:t>
      </w:r>
    </w:p>
    <w:bookmarkEnd w:id="24"/>
    <w:bookmarkStart w:id="25" w:name="sec-materials-methods-2"/>
    <w:p>
      <w:pPr>
        <w:pStyle w:val="Heading2"/>
      </w:pPr>
      <w:r>
        <w:t xml:space="preserve">2.2 Method subsection 2</w:t>
      </w:r>
    </w:p>
    <w:p>
      <w:pPr>
        <w:pStyle w:val="FirstParagraph"/>
      </w:pPr>
      <w:r>
        <w:t xml:space="preserve">Write the second method subsection here.</w:t>
      </w:r>
    </w:p>
    <w:p>
      <w:pPr>
        <w:pStyle w:val="BodyText"/>
      </w:pPr>
      <w:r>
        <w:t xml:space="preserve">Refer to another section with syntax such as</w:t>
      </w:r>
      <w:r>
        <w:t xml:space="preserve"> </w:t>
      </w:r>
      <w:hyperlink w:anchor="sec-introduction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sec-materials-methods-2">
        <w:r>
          <w:rPr>
            <w:rStyle w:val="Hyperlink"/>
          </w:rPr>
          <w:t xml:space="preserve">Section 2.2</w:t>
        </w:r>
      </w:hyperlink>
      <w:r>
        <w:t xml:space="preserve"> </w:t>
      </w:r>
      <w:r>
        <w:t xml:space="preserve">when needed.</w:t>
      </w:r>
    </w:p>
    <w:bookmarkEnd w:id="25"/>
    <w:bookmarkEnd w:id="26"/>
    <w:bookmarkStart w:id="41" w:name="sec-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Report the results here.</w:t>
      </w:r>
    </w:p>
    <w:bookmarkStart w:id="39" w:name="result-subsection-1"/>
    <w:p>
      <w:pPr>
        <w:pStyle w:val="Heading2"/>
      </w:pPr>
      <w:r>
        <w:t xml:space="preserve">3.1 Result subsection 1</w:t>
      </w:r>
    </w:p>
    <w:p>
      <w:pPr>
        <w:pStyle w:val="FirstParagraph"/>
      </w:pPr>
      <w:r>
        <w:t xml:space="preserve">Write the first result subsection here.</w:t>
      </w:r>
    </w:p>
    <w:p>
      <w:pPr>
        <w:pStyle w:val="BodyText"/>
      </w:pPr>
      <w:r>
        <w:t xml:space="preserve">A figure can be included from an image file 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example"/>
          <w:p>
            <w:pPr>
              <w:pStyle w:val="Compact"/>
              <w:jc w:val="center"/>
            </w:pPr>
            <w:r>
              <w:drawing>
                <wp:inline>
                  <wp:extent cx="4572000" cy="40439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figure/example_fig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43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figure included from an image file.</w:t>
            </w:r>
          </w:p>
          <w:bookmarkEnd w:id="30"/>
        </w:tc>
      </w:tr>
    </w:tbl>
    <w:p>
      <w:pPr>
        <w:pStyle w:val="BodyText"/>
      </w:pPr>
      <w:r>
        <w:t xml:space="preserve">Figures can be generated with R or Python, and it is recommended to save the figures in advance and use</w:t>
      </w:r>
      <w:r>
        <w:t xml:space="preserve"> </w:t>
      </w:r>
      <w:r>
        <w:rPr>
          <w:rStyle w:val="VerbatimChar"/>
        </w:rPr>
        <w:t xml:space="preserve">eval: false</w:t>
      </w:r>
      <w:r>
        <w:t xml:space="preserve"> </w:t>
      </w:r>
      <w:r>
        <w:t xml:space="preserve">to reduce rendering time.</w:t>
      </w:r>
    </w:p>
    <w:p>
      <w:pPr>
        <w:pStyle w:val="BodyText"/>
      </w:pPr>
      <w:r>
        <w:t xml:space="preserve">A figure generated from R (</w:t>
      </w:r>
      <w:hyperlink w:anchor="fig-r-example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r-example"/>
          <w:p>
            <w:pPr>
              <w:pStyle w:val="Compact"/>
              <w:jc w:val="center"/>
            </w:pPr>
            <w:r>
              <w:drawing>
                <wp:inline>
                  <wp:extent cx="4572000" cy="3200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figure/example_fig_r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figure generated from R and saved at 300 dpi.</w:t>
            </w:r>
          </w:p>
          <w:bookmarkEnd w:id="34"/>
        </w:tc>
      </w:tr>
    </w:tbl>
    <w:p>
      <w:pPr>
        <w:pStyle w:val="BodyText"/>
      </w:pPr>
      <w:r>
        <w:t xml:space="preserve">A figure generated from Python (</w:t>
      </w:r>
      <w:hyperlink w:anchor="fig-python-example">
        <w:r>
          <w:rPr>
            <w:rStyle w:val="Hyperlink"/>
          </w:rPr>
          <w:t xml:space="preserve">Figure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ython-example"/>
          <w:p>
            <w:pPr>
              <w:pStyle w:val="Compact"/>
              <w:jc w:val="center"/>
            </w:pPr>
            <w:r>
              <w:drawing>
                <wp:inline>
                  <wp:extent cx="4572000" cy="3200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figure/example_fig_python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Example figure generated from Python and saved at 300 dpi.</w:t>
            </w:r>
          </w:p>
          <w:bookmarkEnd w:id="38"/>
        </w:tc>
      </w:tr>
    </w:tbl>
    <w:bookmarkEnd w:id="39"/>
    <w:bookmarkStart w:id="40" w:name="sec-results-2"/>
    <w:p>
      <w:pPr>
        <w:pStyle w:val="Heading2"/>
      </w:pPr>
      <w:r>
        <w:t xml:space="preserve">3.2 Result subsection 2</w:t>
      </w:r>
    </w:p>
    <w:p>
      <w:pPr>
        <w:pStyle w:val="FirstParagraph"/>
      </w:pPr>
      <w:r>
        <w:t xml:space="preserve">Inline code can be used to express analysis results directly in the text.</w:t>
      </w:r>
    </w:p>
    <w:p>
      <w:pPr>
        <w:pStyle w:val="BodyText"/>
      </w:pPr>
      <w:r>
        <w:t xml:space="preserve">A simple inline R calculation is 1 + 2 = 3.</w:t>
      </w:r>
    </w:p>
    <w:p>
      <w:pPr>
        <w:pStyle w:val="BodyText"/>
      </w:pPr>
      <w:r>
        <w:t xml:space="preserve">For a more complex calculation, values can first be prepared in a hidden R code chunk.</w:t>
      </w:r>
    </w:p>
    <w:p>
      <w:pPr>
        <w:pStyle w:val="BodyText"/>
      </w:pPr>
      <w:r>
        <w:t xml:space="preserve">The mean of 4 values calculated with R is 11.8.</w:t>
      </w:r>
    </w:p>
    <w:p>
      <w:pPr>
        <w:pStyle w:val="BodyText"/>
      </w:pPr>
      <w:r>
        <w:t xml:space="preserve">Python calculations can also be prepared in a hidden chunk and inserted with an inline R expression through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</w:p>
    <w:p>
      <w:pPr>
        <w:pStyle w:val="BodyText"/>
      </w:pPr>
      <w:r>
        <w:t xml:space="preserve">The mean of 4 values calculated with Python is 11.8.</w:t>
      </w:r>
    </w:p>
    <w:p>
      <w:pPr>
        <w:pStyle w:val="BodyText"/>
      </w:pPr>
      <w:r>
        <w:t xml:space="preserve">Inline expressions can also reuse complex text, reducing typing effort and the chance of errors.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L. monocytogenes</w:t>
      </w:r>
      <w:r>
        <w:t xml:space="preserve"> </w:t>
      </w:r>
      <w:r>
        <w:t xml:space="preserve">and EGDe</w:t>
      </w:r>
      <w:r>
        <w:t xml:space="preserve"> </w:t>
      </w:r>
      <w:r>
        <w:rPr>
          <w:i/>
          <w:iCs/>
        </w:rPr>
        <w:t xml:space="preserve">lacR</w:t>
      </w:r>
      <w:r>
        <w:rPr>
          <w:vertAlign w:val="superscript"/>
        </w:rPr>
        <w:t xml:space="preserve">887del</w:t>
      </w:r>
      <w:r>
        <w:t xml:space="preserve"> </w:t>
      </w:r>
      <w:r>
        <w:rPr>
          <w:i/>
          <w:iCs/>
        </w:rPr>
        <w:t xml:space="preserve">lmo2766</w:t>
      </w:r>
      <w:r>
        <w:rPr>
          <w:vertAlign w:val="superscript"/>
        </w:rPr>
        <w:t xml:space="preserve">C415T</w:t>
      </w:r>
      <w:r>
        <w:t xml:space="preserve"> </w:t>
      </w:r>
      <w:r>
        <w:t xml:space="preserve">can be defined once and used consistently throughout the manuscript.</w:t>
      </w:r>
    </w:p>
    <w:bookmarkEnd w:id="40"/>
    <w:bookmarkEnd w:id="41"/>
    <w:bookmarkStart w:id="42" w:name="sec-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Interpret the findings here.</w:t>
      </w:r>
    </w:p>
    <w:bookmarkEnd w:id="42"/>
    <w:bookmarkStart w:id="43" w:name="sec-conclusions"/>
    <w:p>
      <w:pPr>
        <w:pStyle w:val="Heading1"/>
      </w:pPr>
      <w:r>
        <w:t xml:space="preserve">5. Conclusions</w:t>
      </w:r>
    </w:p>
    <w:p>
      <w:pPr>
        <w:pStyle w:val="FirstParagraph"/>
      </w:pPr>
      <w:r>
        <w:t xml:space="preserve">Write the main conclusions here.</w:t>
      </w:r>
    </w:p>
    <w:bookmarkEnd w:id="43"/>
    <w:bookmarkStart w:id="44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Describe each author’s contributions here using the contribution terminology required by the target journal.</w:t>
      </w:r>
    </w:p>
    <w:bookmarkEnd w:id="44"/>
    <w:bookmarkStart w:id="45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Write the competing-interest declaration required by the target journal here.</w:t>
      </w:r>
    </w:p>
    <w:bookmarkEnd w:id="45"/>
    <w:bookmarkStart w:id="46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State where the supporting data can be accessed here.</w:t>
      </w:r>
    </w:p>
    <w:bookmarkEnd w:id="46"/>
    <w:bookmarkStart w:id="47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Write acknowledgments and funding information here.</w:t>
      </w:r>
    </w:p>
    <w:bookmarkEnd w:id="47"/>
    <w:bookmarkStart w:id="48" w:name="Xfd35355eaff5be7167e13ac5f8f9ba5509cc5e8"/>
    <w:p>
      <w:pPr>
        <w:pStyle w:val="Heading1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If required by the target journal, describe any use of generative AI or AI-assisted technologies during manuscript preparation.</w:t>
      </w:r>
    </w:p>
    <w:p>
      <w:r>
        <w:br w:type="page"/>
      </w:r>
    </w:p>
    <w:bookmarkEnd w:id="48"/>
    <w:bookmarkStart w:id="58" w:name="references"/>
    <w:p>
      <w:pPr>
        <w:pStyle w:val="Heading1"/>
      </w:pPr>
      <w:r>
        <w:t xml:space="preserve">References</w:t>
      </w:r>
    </w:p>
    <w:bookmarkStart w:id="57" w:name="refs"/>
    <w:bookmarkStart w:id="50" w:name="ref-chen2024"/>
    <w:p>
      <w:pPr>
        <w:pStyle w:val="Bibliography"/>
      </w:pPr>
      <w:r>
        <w:t xml:space="preserve">Chen, J., Ma, X., He, J., Wang, Y., Ren, Y., Qi, L., Song, L., Ruan, L., Fan, C., Jiang, J., Bao, Y., Huang, T., Cheng, J., Liu, X., Chen, F., Huang, Y., Zhao, N., &amp; Guo, C. (2024, June 17).</w:t>
      </w:r>
      <w:r>
        <w:t xml:space="preserve"> </w:t>
      </w:r>
      <w:r>
        <w:rPr>
          <w:i/>
          <w:iCs/>
        </w:rPr>
        <w:t xml:space="preserve">Intra-genomic genes-to-genes correlation enables genome representaion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https://doi.org/10.1101/2024.06.12.598634</w:t>
        </w:r>
      </w:hyperlink>
      <w:r>
        <w:t xml:space="preserve"> </w:t>
      </w:r>
      <w:r>
        <w:t xml:space="preserve">(Pre-published)</w:t>
      </w:r>
    </w:p>
    <w:bookmarkEnd w:id="50"/>
    <w:bookmarkStart w:id="52" w:name="ref-ma2024lactose"/>
    <w:p>
      <w:pPr>
        <w:pStyle w:val="Bibliography"/>
      </w:pPr>
      <w:r>
        <w:t xml:space="preserve">Ma, X., Crespo Tapia, N., Koomen, J., van Mastrigt, O., Zwietering, M. H., Den Besten, H. M. W., &amp; Abee, T. (2024). Activation of a silent lactose utilization pathway in an evolved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 </w:t>
      </w:r>
      <w:r>
        <w:t xml:space="preserve">F2365</w:t>
      </w:r>
      <w:r>
        <w:t xml:space="preserve"> </w:t>
      </w:r>
      <w:r>
        <w:t xml:space="preserve">outbreak isolate.</w:t>
      </w:r>
      <w:r>
        <w:t xml:space="preserve"> </w:t>
      </w:r>
      <w:r>
        <w:rPr>
          <w:i/>
          <w:iCs/>
        </w:rPr>
        <w:t xml:space="preserve">Food Res. Int.</w:t>
      </w:r>
      <w:r>
        <w:t xml:space="preserve">,</w:t>
      </w:r>
      <w:r>
        <w:t xml:space="preserve"> </w:t>
      </w:r>
      <w:r>
        <w:rPr>
          <w:i/>
          <w:iCs/>
        </w:rPr>
        <w:t xml:space="preserve">189</w:t>
      </w:r>
      <w:r>
        <w:t xml:space="preserve">, 114554.</w:t>
      </w:r>
      <w:r>
        <w:t xml:space="preserve"> </w:t>
      </w:r>
      <w:hyperlink r:id="rId51">
        <w:r>
          <w:rPr>
            <w:rStyle w:val="Hyperlink"/>
          </w:rPr>
          <w:t xml:space="preserve">https://doi.org/10.1016/j.foodres.2024.114554</w:t>
        </w:r>
      </w:hyperlink>
    </w:p>
    <w:bookmarkEnd w:id="52"/>
    <w:bookmarkStart w:id="54" w:name="ref-ma2024sigB"/>
    <w:p>
      <w:pPr>
        <w:pStyle w:val="Bibliography"/>
      </w:pPr>
      <w:r>
        <w:t xml:space="preserve">Ma, X., Tempelaars, M. H., Zwietering, M. H., Boeren, S., O’Byrne, C. P., den Besten, H. M. W., &amp; Abee, T. (2024). A single point mutation in the</w:t>
      </w:r>
      <w:r>
        <w:t xml:space="preserve"> </w:t>
      </w:r>
      <w:r>
        <w:rPr>
          <w:i/>
          <w:iCs/>
        </w:rPr>
        <w:t xml:space="preserve">Listeria</w:t>
      </w:r>
      <w:r>
        <w:rPr>
          <w:i/>
          <w:iCs/>
        </w:rPr>
        <w:t xml:space="preserve"> </w:t>
      </w:r>
      <w:r>
        <w:rPr>
          <w:i/>
          <w:iCs/>
        </w:rPr>
        <w:t xml:space="preserve">Monocytogenes</w:t>
      </w:r>
      <w:r>
        <w:t xml:space="preserve"> </w:t>
      </w:r>
      <w:r>
        <w:t xml:space="preserve">ribosomal gene</w:t>
      </w:r>
      <w:r>
        <w:t xml:space="preserve"> </w:t>
      </w:r>
      <w:r>
        <w:rPr>
          <w:i/>
          <w:iCs/>
        </w:rPr>
        <w:t xml:space="preserve">rpsU</w:t>
      </w:r>
      <w:r>
        <w:t xml:space="preserve"> </w:t>
      </w:r>
      <w:r>
        <w:t xml:space="preserve">enables</w:t>
      </w:r>
      <w:r>
        <w:t xml:space="preserve"> </w:t>
      </w:r>
      <w:r>
        <w:t xml:space="preserve">SigB</w:t>
      </w:r>
      <w:r>
        <w:t xml:space="preserve"> </w:t>
      </w:r>
      <w:r>
        <w:t xml:space="preserve">activation independently of the stressosome and the anti-sigma factor antagonist</w:t>
      </w:r>
      <w:r>
        <w:t xml:space="preserve"> </w:t>
      </w:r>
      <w:r>
        <w:t xml:space="preserve">RsbV</w:t>
      </w:r>
      <w:r>
        <w:t xml:space="preserve">.</w:t>
      </w:r>
      <w:r>
        <w:t xml:space="preserve"> </w:t>
      </w:r>
      <w:r>
        <w:rPr>
          <w:i/>
          <w:iCs/>
        </w:rPr>
        <w:t xml:space="preserve">Front. Microbiol.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https://doi.org/10.3389/fmicb.2024.1304325</w:t>
        </w:r>
      </w:hyperlink>
    </w:p>
    <w:bookmarkEnd w:id="54"/>
    <w:bookmarkStart w:id="56" w:name="ref-ren2025"/>
    <w:p>
      <w:pPr>
        <w:pStyle w:val="Bibliography"/>
      </w:pPr>
      <w:r>
        <w:t xml:space="preserve">Ren, Q., Ma, X., Boeren, S., Keijzer, P., Wichers, H. J., &amp; Hettinga, K. A. (2025). Effects of dry heating on the cleavage of casein and whey protein into peptides under simulated infant digestion.</w:t>
      </w:r>
      <w:r>
        <w:t xml:space="preserve"> </w:t>
      </w:r>
      <w:r>
        <w:rPr>
          <w:i/>
          <w:iCs/>
        </w:rPr>
        <w:t xml:space="preserve">Food Chem.</w:t>
      </w:r>
      <w:r>
        <w:t xml:space="preserve">,</w:t>
      </w:r>
      <w:r>
        <w:t xml:space="preserve"> </w:t>
      </w:r>
      <w:r>
        <w:rPr>
          <w:i/>
          <w:iCs/>
        </w:rPr>
        <w:t xml:space="preserve">468</w:t>
      </w:r>
      <w:r>
        <w:t xml:space="preserve">, 142397.</w:t>
      </w:r>
      <w:r>
        <w:t xml:space="preserve"> </w:t>
      </w:r>
      <w:hyperlink r:id="rId55">
        <w:r>
          <w:rPr>
            <w:rStyle w:val="Hyperlink"/>
          </w:rPr>
          <w:t xml:space="preserve">https://doi.org/10.1016/j.foodchem.2024.142397</w:t>
        </w:r>
      </w:hyperlink>
    </w:p>
    <w:bookmarkEnd w:id="56"/>
    <w:bookmarkEnd w:id="57"/>
    <w:p>
      <w:r>
        <w:br w:type="page"/>
      </w:r>
    </w:p>
    <w:bookmarkEnd w:id="58"/>
    <w:bookmarkStart w:id="63" w:name="sec-appendices"/>
    <w:p>
      <w:pPr>
        <w:pStyle w:val="Heading1"/>
      </w:pPr>
      <w:r>
        <w:t xml:space="preserve">6. Appendices</w:t>
      </w:r>
    </w:p>
    <w:p>
      <w:pPr>
        <w:pStyle w:val="FirstParagraph"/>
      </w:pPr>
      <w:r>
        <w:t xml:space="preserve">Write appendix content 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s-appendix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A.1: Example appendix table caption.</w:t>
            </w:r>
          </w:p>
          <w:tbl>
            <w:tblPr>
              <w:tblStyle w:val="ThreeLin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variable_1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Describe variable 1 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variable_2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Describe variable 2 here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s-appendix-example"/>
          <w:p>
            <w:pPr>
              <w:pStyle w:val="Compact"/>
              <w:jc w:val="center"/>
            </w:pPr>
            <w:r>
              <w:drawing>
                <wp:inline>
                  <wp:extent cx="4572000" cy="404395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gure/example_fig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43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A.1: Example appendix figure caption.</w:t>
            </w:r>
          </w:p>
          <w:bookmarkEnd w:id="62"/>
        </w:tc>
      </w:tr>
    </w:tbl>
    <w:bookmarkEnd w:id="63"/>
    <w:sectPr w:rsidR="008870DE" w:rsidSect="006D5E48">
      <w:footerReference r:id="rId8" w:type="default"/>
      <w:pgSz w:h="15840" w:w="12240"/>
      <w:pgMar w:bottom="1440" w:footer="720" w:gutter="0" w:header="720" w:left="1440" w:right="1440" w:top="144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740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64D1B" w14:textId="77777777" w:rsidR="00957193" w:rsidRDefault="0095719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64D1C" w14:textId="77777777" w:rsidR="00957193" w:rsidRDefault="0095719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469ADE8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7D07E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4F4BDA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FC714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A790E49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4D0A10C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E72E6800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7146E3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0C558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C58DE0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2800133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98DA4A7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06723499" w:numId="1">
    <w:abstractNumId w:val="10"/>
  </w:num>
  <w:num w16cid:durableId="245500895" w:numId="2">
    <w:abstractNumId w:val="9"/>
  </w:num>
  <w:num w16cid:durableId="87889635" w:numId="3">
    <w:abstractNumId w:val="7"/>
  </w:num>
  <w:num w16cid:durableId="204215968" w:numId="4">
    <w:abstractNumId w:val="6"/>
  </w:num>
  <w:num w16cid:durableId="663509899" w:numId="5">
    <w:abstractNumId w:val="5"/>
  </w:num>
  <w:num w16cid:durableId="794494362" w:numId="6">
    <w:abstractNumId w:val="4"/>
  </w:num>
  <w:num w16cid:durableId="1330670080" w:numId="7">
    <w:abstractNumId w:val="8"/>
  </w:num>
  <w:num w16cid:durableId="1354109444" w:numId="8">
    <w:abstractNumId w:val="3"/>
  </w:num>
  <w:num w16cid:durableId="210119952" w:numId="9">
    <w:abstractNumId w:val="2"/>
  </w:num>
  <w:num w16cid:durableId="273442096" w:numId="10">
    <w:abstractNumId w:val="1"/>
  </w:num>
  <w:num w16cid:durableId="1684285639" w:numId="11">
    <w:abstractNumId w:val="0"/>
  </w:num>
  <w:num w16cid:durableId="2062438592" w:numId="12">
    <w:abstractNumId w:val="10"/>
  </w:num>
  <w:num w16cid:durableId="1553077920" w:numId="13">
    <w:abstractNumId w:val="11"/>
  </w:num>
  <w:num w16cid:durableId="804393888" w:numId="14">
    <w:abstractNumId w:val="10"/>
  </w:num>
  <w:num w16cid:durableId="1687947545" w:numId="15">
    <w:abstractNumId w:val="1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2A1"/>
    <w:rsid w:val="0003375B"/>
    <w:rsid w:val="00077A04"/>
    <w:rsid w:val="000B39B0"/>
    <w:rsid w:val="000F029B"/>
    <w:rsid w:val="000F30AF"/>
    <w:rsid w:val="000F59F7"/>
    <w:rsid w:val="001240B6"/>
    <w:rsid w:val="00131E59"/>
    <w:rsid w:val="0013295F"/>
    <w:rsid w:val="0014535F"/>
    <w:rsid w:val="00164219"/>
    <w:rsid w:val="00190359"/>
    <w:rsid w:val="001A0212"/>
    <w:rsid w:val="001A3016"/>
    <w:rsid w:val="001F2520"/>
    <w:rsid w:val="0022061F"/>
    <w:rsid w:val="002A6387"/>
    <w:rsid w:val="00300849"/>
    <w:rsid w:val="0036767F"/>
    <w:rsid w:val="003947A0"/>
    <w:rsid w:val="003D0B85"/>
    <w:rsid w:val="004034A2"/>
    <w:rsid w:val="00414805"/>
    <w:rsid w:val="00607475"/>
    <w:rsid w:val="00661B40"/>
    <w:rsid w:val="006A491D"/>
    <w:rsid w:val="006D5E48"/>
    <w:rsid w:val="006E5EB0"/>
    <w:rsid w:val="006F1436"/>
    <w:rsid w:val="00717DF2"/>
    <w:rsid w:val="00745C36"/>
    <w:rsid w:val="007B4536"/>
    <w:rsid w:val="0080212A"/>
    <w:rsid w:val="008408A0"/>
    <w:rsid w:val="008870DE"/>
    <w:rsid w:val="0090249F"/>
    <w:rsid w:val="00947B5C"/>
    <w:rsid w:val="00957193"/>
    <w:rsid w:val="009932DC"/>
    <w:rsid w:val="009C6389"/>
    <w:rsid w:val="009D14EE"/>
    <w:rsid w:val="00A32DF0"/>
    <w:rsid w:val="00A740B6"/>
    <w:rsid w:val="00AE153F"/>
    <w:rsid w:val="00B6139E"/>
    <w:rsid w:val="00BB60A0"/>
    <w:rsid w:val="00C17973"/>
    <w:rsid w:val="00C412A1"/>
    <w:rsid w:val="00C73B97"/>
    <w:rsid w:val="00CB63AE"/>
    <w:rsid w:val="00D43CE3"/>
    <w:rsid w:val="00D953DC"/>
    <w:rsid w:val="00DC7CF7"/>
    <w:rsid w:val="00E20BC9"/>
    <w:rsid w:val="00E50BD4"/>
    <w:rsid w:val="00E87D25"/>
    <w:rsid w:val="00ED08F5"/>
    <w:rsid w:val="00EF3AF7"/>
    <w:rsid w:val="00F5792B"/>
    <w:rsid w:val="00F92C7F"/>
    <w:rsid w:val="00FE4B5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408A0"/>
  </w:style>
  <w:style w:styleId="Heading1" w:type="paragraph">
    <w:name w:val="heading 1"/>
    <w:basedOn w:val="Normal"/>
    <w:next w:val="BodyText"/>
    <w:link w:val="Heading1Char"/>
    <w:uiPriority w:val="9"/>
    <w:qFormat/>
    <w:rsid w:val="0030084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077A04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077A04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300849"/>
    <w:pPr>
      <w:spacing w:after="180" w:before="180" w:line="480" w:lineRule="auto"/>
      <w:jc w:val="both"/>
    </w:pPr>
  </w:style>
  <w:style w:customStyle="1" w:styleId="FirstParagraph" w:type="paragraph">
    <w:name w:val="First Paragraph"/>
    <w:basedOn w:val="BodyText"/>
    <w:next w:val="BodyText"/>
    <w:qFormat/>
    <w:rsid w:val="00E16CBE"/>
  </w:style>
  <w:style w:customStyle="1" w:styleId="Compact" w:type="paragraph">
    <w:name w:val="Compact"/>
    <w:basedOn w:val="BodyText"/>
    <w:qFormat/>
    <w:rsid w:val="0036767F"/>
    <w:pPr>
      <w:spacing w:after="0" w:before="0" w:line="240" w:lineRule="auto"/>
    </w:pPr>
  </w:style>
  <w:style w:styleId="Title" w:type="paragraph">
    <w:name w:val="Title"/>
    <w:basedOn w:val="Normal"/>
    <w:next w:val="BodyText"/>
    <w:qFormat/>
    <w:rsid w:val="006F1436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2A6387"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7B4536"/>
    <w:pPr>
      <w:keepNext/>
    </w:pPr>
    <w:rPr>
      <w:i w:val="0"/>
    </w:rPr>
  </w:style>
  <w:style w:customStyle="1" w:styleId="ImageCaption" w:type="paragraph">
    <w:name w:val="Image Caption"/>
    <w:basedOn w:val="Caption"/>
    <w:autoRedefine/>
    <w:qFormat/>
    <w:rsid w:val="00300849"/>
    <w:pPr>
      <w:spacing w:before="200"/>
    </w:pPr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A740B6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77A04"/>
    <w:pPr>
      <w:spacing w:before="240" w:line="259" w:lineRule="auto"/>
      <w:outlineLvl w:val="9"/>
    </w:pPr>
    <w:rPr>
      <w:b w:val="0"/>
      <w:bCs w:val="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BodyTextChar" w:type="character">
    <w:name w:val="Body Text Char"/>
    <w:basedOn w:val="DefaultParagraphFont"/>
    <w:link w:val="BodyText"/>
    <w:rsid w:val="00300849"/>
  </w:style>
  <w:style w:styleId="Header" w:type="paragraph">
    <w:name w:val="header"/>
    <w:basedOn w:val="Normal"/>
    <w:link w:val="HeaderChar"/>
    <w:unhideWhenUsed/>
    <w:rsid w:val="00A32DF0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A32DF0"/>
  </w:style>
  <w:style w:styleId="Footer" w:type="paragraph">
    <w:name w:val="footer"/>
    <w:basedOn w:val="Normal"/>
    <w:link w:val="FooterChar"/>
    <w:uiPriority w:val="99"/>
    <w:unhideWhenUsed/>
    <w:rsid w:val="00A32DF0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A32DF0"/>
  </w:style>
  <w:style w:styleId="CommentReference" w:type="character">
    <w:name w:val="annotation reference"/>
    <w:basedOn w:val="DefaultParagraphFont"/>
    <w:uiPriority w:val="99"/>
    <w:semiHidden/>
    <w:unhideWhenUsed/>
    <w:rsid w:val="0022061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22061F"/>
    <w:pPr>
      <w:widowControl w:val="0"/>
      <w:autoSpaceDE w:val="0"/>
      <w:autoSpaceDN w:val="0"/>
      <w:spacing w:after="0"/>
    </w:pPr>
    <w:rPr>
      <w:rFonts w:ascii="Times New Roman" w:cs="Times New Roman" w:eastAsia="Times New Roman" w:hAnsi="Times New Roman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22061F"/>
    <w:rPr>
      <w:rFonts w:ascii="Times New Roman" w:cs="Times New Roman" w:eastAsia="Times New Roman" w:hAnsi="Times New Roman"/>
      <w:sz w:val="20"/>
      <w:szCs w:val="20"/>
    </w:rPr>
  </w:style>
  <w:style w:styleId="LineNumber" w:type="character">
    <w:name w:val="line number"/>
    <w:basedOn w:val="DefaultParagraphFont"/>
    <w:semiHidden/>
    <w:unhideWhenUsed/>
    <w:rsid w:val="006D5E48"/>
  </w:style>
  <w:style w:customStyle="1" w:styleId="ThreeLine" w:type="table">
    <w:name w:val="ThreeLine"/>
    <w:basedOn w:val="TableNormal"/>
    <w:uiPriority w:val="99"/>
    <w:rsid w:val="008408A0"/>
    <w:pPr>
      <w:spacing w:after="0"/>
    </w:pPr>
    <w:tblPr>
      <w:tblBorders>
        <w:top w:color="auto" w:space="0" w:sz="6" w:val="single"/>
        <w:bottom w:color="auto" w:space="0" w:sz="6" w:val="single"/>
      </w:tblBorders>
    </w:tblPr>
    <w:tblStylePr w:type="firstRow">
      <w:rPr>
        <w:b/>
      </w:rPr>
      <w:tblPr/>
      <w:tcPr>
        <w:tcBorders>
          <w:bottom w:color="auto" w:space="0" w:sz="4" w:val="single"/>
        </w:tcBorders>
      </w:tcPr>
    </w:tblStylePr>
  </w:style>
  <w:style w:styleId="TableGrid" w:type="table">
    <w:name w:val="Table Grid"/>
    <w:basedOn w:val="TableNormal"/>
    <w:rsid w:val="00E87D2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6E5EB0"/>
    <w:rPr>
      <w:rFonts w:asciiTheme="majorHAnsi" w:cstheme="majorBidi" w:eastAsiaTheme="majorEastAsia" w:hAnsiTheme="majorHAns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Type="http://schemas.openxmlformats.org/officeDocument/2006/relationships/image" Id="rId27" Target="media/rId27.jp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hyperlink" Id="rId55" Target="https://doi.org/10.1016/j.foodchem.2024.142397" TargetMode="External" /><Relationship Type="http://schemas.openxmlformats.org/officeDocument/2006/relationships/hyperlink" Id="rId51" Target="https://doi.org/10.1016/j.foodres.2024.114554" TargetMode="External" /><Relationship Type="http://schemas.openxmlformats.org/officeDocument/2006/relationships/hyperlink" Id="rId49" Target="https://doi.org/10.1101/2024.06.12.598634" TargetMode="External" /><Relationship Type="http://schemas.openxmlformats.org/officeDocument/2006/relationships/hyperlink" Id="rId53" Target="https://doi.org/10.3389/fmicb.2024.1304325" TargetMode="External" /><Relationship Type="http://schemas.openxmlformats.org/officeDocument/2006/relationships/hyperlink" Id="rId17" Target="mailto:author_1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oi.org/10.1016/j.foodchem.2024.142397" TargetMode="External" /><Relationship Type="http://schemas.openxmlformats.org/officeDocument/2006/relationships/hyperlink" Id="rId51" Target="https://doi.org/10.1016/j.foodres.2024.114554" TargetMode="External" /><Relationship Type="http://schemas.openxmlformats.org/officeDocument/2006/relationships/hyperlink" Id="rId49" Target="https://doi.org/10.1101/2024.06.12.598634" TargetMode="External" /><Relationship Type="http://schemas.openxmlformats.org/officeDocument/2006/relationships/hyperlink" Id="rId53" Target="https://doi.org/10.3389/fmicb.2024.1304325" TargetMode="External" /><Relationship Type="http://schemas.openxmlformats.org/officeDocument/2006/relationships/hyperlink" Id="rId17" Target="mailto:author_1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Here write your title</dc:title>
  <dc:creator>author_1*,1,✉, author_2*,1,3, and author_32</dc:creator>
  <cp:keywords/>
  <dcterms:created xsi:type="dcterms:W3CDTF">2026-08-20T16:13:16Z</dcterms:created>
  <dcterms:modified xsi:type="dcterms:W3CDTF">2026-08-20T16:13:16Z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example_bibliography.bib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apa.csl</vt:lpwstr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bls-cap-location">
    <vt:lpwstr>top</vt:lpwstr>
  </property>
  <property fmtid="{D5CDD505-2E9C-101B-9397-08002B2CF9AE}" pid="16" name="toc-title">
    <vt:lpwstr>Table of contents</vt:lpwstr>
  </property>
</Properties>
</file>