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外拨机器人调研与落地方案</w:t>
        <w:br/>
        <w:t>修订整合版 V2.0</w:t>
      </w:r>
    </w:p>
    <w:p>
      <w:pPr>
        <w:jc w:val="center"/>
      </w:pPr>
      <w:r>
        <w:rPr>
          <w:i/>
        </w:rPr>
        <w:t>适用于：基于开源项目的合规私有化 AI 呼叫系统开发与交付</w:t>
      </w:r>
    </w:p>
    <w:p>
      <w:pPr>
        <w:jc w:val="center"/>
      </w:pPr>
      <w:r>
        <w:rPr>
          <w:color w:val="646464"/>
        </w:rPr>
        <w:t>修订日期：2026-08-18</w:t>
      </w:r>
    </w:p>
    <w:p>
      <w:pPr>
        <w:ind w:left="283" w:right="283"/>
      </w:pPr>
      <w:r>
        <w:rPr>
          <w:b/>
          <w:color w:val="C0504D"/>
        </w:rPr>
        <w:t>文档定位：</w:t>
      </w:r>
      <w:r>
        <w:t>本文件合并并修订原有两份调研文档。原文保留不动，本文作为后续技术选型、商务沟通、POC 验收和客户交付的主版本。价格、线路能力和合规结论中凡标注“待确认”的内容，均不得直接写成对客户的承诺。</w:t>
      </w:r>
    </w:p>
    <w:p>
      <w:pPr>
        <w:pStyle w:val="Heading1"/>
      </w:pPr>
      <w:r>
        <w:t>一、先看结论</w:t>
      </w:r>
    </w:p>
    <w:p>
      <w:r>
        <w:t>推荐的第一条商业路线是：SmartCall + Asterisk/PJSIP + MaxKB + 合规的 CPaaS 或 SIP 服务 + 云端 ASR/TTS/LLM，通信账号由客户自己持有，你负责软件、部署、集成和维保。</w:t>
      </w:r>
    </w:p>
    <w:p>
      <w:r>
        <w:t>这条路线的目的不是追求一次性把所有能力做成“完全本地”，而是先用可验证的线路和语音服务跑通真实客户场景，再根据客户数量、通话量和隐私要求逐步替换为本地 ASR、TTS 或更底层的 SIP。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决策项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建议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原因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第一版系统骨架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SmartCall + Asterisk/PJSIP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已有 IVR、呼叫控制、录音、AI 节点和 MaxKB 适配基础，适合从可运行系统开始。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知识库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第一版优先 MaxKB；复杂文档再评估 RAGFlow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SmartCall 已有 MaxKB 集成，减少自己写 Agent 适配层的工作量。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语音服务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第一版使用可签约的云 ASR/TTS；本地化作为二期能力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实时电话音频、8K 采样、流式延迟和稳定性比“零 API 费用”更重要。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通信资源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客户自持账号；你提供接入和运维服务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避免垫资、封号连带责任和通信账单失控。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运营商谈判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有稳定客户和可预测月通话量后再谈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没有规模时，最低消费、资质、联调和风控成本可能超过节省的分钟费。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产品定位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合规场景下的私有化 AI 呼叫系统实施服务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不要把产品包装成无限制批量外呼工具。</w:t>
            </w:r>
          </w:p>
        </w:tc>
      </w:tr>
    </w:tbl>
    <w:p/>
    <w:p>
      <w:pPr>
        <w:pStyle w:val="Heading1"/>
      </w:pPr>
      <w:r>
        <w:t>二、原文中已修正的关键问题</w:t>
      </w:r>
    </w:p>
    <w:p>
      <w:pPr>
        <w:pStyle w:val="Heading2"/>
      </w:pPr>
      <w:r>
        <w:t>1. SmartCall 的技术栈</w:t>
      </w:r>
    </w:p>
    <w:p>
      <w:r>
        <w:t>已核对 SmartCall 当前公开仓库 README：其核心是 Asterisk 22 + PJSIP，并通过 Asterisk AMI/AGI 执行呼叫和 IVR 流程；同时使用 Java 17、Spring Boot、MySQL、Redis、MaxKB 及多个云语音服务。原文把它写成“FreeSWITCH + MRCP”是不准确的，后续架构图、部署文档和人力评估都应以 Asterisk/PJSIP 为准。</w:t>
      </w:r>
    </w:p>
    <w:p>
      <w:r>
        <w:t>仓库公开 LICENSE 为 Apache 2.0。可以商业使用和修改，但发布或交付时要保留许可证、版权和 NOTICE 信息，并核对依赖组件的许可证。</w:t>
      </w:r>
    </w:p>
    <w:p>
      <w:pPr>
        <w:pStyle w:val="Heading2"/>
      </w:pPr>
      <w:r>
        <w:t>2. SmartCall 不是免验证的商用成品</w:t>
      </w:r>
    </w:p>
    <w:p>
      <w:r>
        <w:t>README 中部分能力是“可扩展基础”或“提供扩展接口”，不等于每个客户场景都已经稳定完成。智能外呼任务、重拨策略、线路风控、并发上限、异常挂断、录音完整性、VAD 和打断效果必须通过自己的 POC 验证。</w:t>
      </w:r>
    </w:p>
    <w:p>
      <w:pPr>
        <w:pStyle w:val="Heading2"/>
      </w:pPr>
      <w:r>
        <w:t>3. media bypass 的边界</w:t>
      </w:r>
    </w:p>
    <w:p>
      <w:r>
        <w:t>SIP media bypass 通常表示 RTP 媒体不经过某个中间媒体服务器，并不等于语音永远不离开客户内网。外线电话最终仍要经过 SIP 服务商或运营商及公网电话网络。对客户应表述为“减少第三方应用侧媒体处理或存储，并可使媒体路径更直接”，不要承诺“语音完全不出内网”。</w:t>
      </w:r>
    </w:p>
    <w:p>
      <w:pPr>
        <w:pStyle w:val="Heading2"/>
      </w:pPr>
      <w:r>
        <w:t>4. 开源协议不能只看代码仓库首页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公开许可证/事实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交付注意事项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SmartCall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Apache 2.0；当前仓库使用 Asterisk/PJSIP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保留版权和许可证；外呼、线路、AI 对话质量仍需 POC。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Pipecat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BSD-2-Clause；实时语音 Agent 框架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不是中国运营商外呼成品；电话接入、SIP/CPaaS、重试和运营后台仍需自己完成。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RAGFlow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Apache 2.0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资源占用和部署复杂度较高，适合文档解析需求明显的客户。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Dify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修改版 Apache 2.0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多租户和前端 Logo/copyright 有额外限制；白牌 SaaS 前先取得书面许可或只使用 API/后端能力。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FunASR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代码仓库为 MIT；模型和模型卡需单独核查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逐个确认模型权重、音色和商业用途，不能只凭代码许可证下结论。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Edge-TTS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调用 Microsoft Edge 在线 TTS 服务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不是本地 TTS；不应写成“语音不出网、完全免费、生产可商用”。</w:t>
            </w:r>
          </w:p>
        </w:tc>
      </w:tr>
    </w:tbl>
    <w:p/>
    <w:p>
      <w:pPr>
        <w:pStyle w:val="Heading1"/>
      </w:pPr>
      <w:r>
        <w:t>三、产品边界与目标客户</w:t>
      </w:r>
    </w:p>
    <w:p>
      <w:r>
        <w:t>建议优先选择有明确业务关系、可留痕、可解释的场景：预约提醒、服务回访、已有客户续费提醒、售后通知、工单回访、内部热线和企业知识库问答。</w:t>
      </w:r>
    </w:p>
    <w:p>
      <w:r>
        <w:t>谨慎或暂不接的场景包括：无授权的陌生号码营销、批量骚扰、催收、政治类电话、无法证明号码来源的名单，以及客户要求绕过运营商风控的场景。</w:t>
      </w:r>
    </w:p>
    <w:p>
      <w:pPr>
        <w:pStyle w:val="ListBullet"/>
      </w:pPr>
      <w:r>
        <w:t>产品必须有黑名单、退订/停止联系机制和人工转接机制。</w:t>
      </w:r>
    </w:p>
    <w:p>
      <w:pPr>
        <w:pStyle w:val="ListBullet"/>
      </w:pPr>
      <w:r>
        <w:t>每个客户要有独立的线路账号、话术、知识库、录音和审计数据边界。</w:t>
      </w:r>
    </w:p>
    <w:p>
      <w:pPr>
        <w:pStyle w:val="ListBullet"/>
      </w:pPr>
      <w:r>
        <w:t>客户提供的名单、授权、话术和业务资质应作为交付前置条件。</w:t>
      </w:r>
    </w:p>
    <w:p>
      <w:pPr>
        <w:pStyle w:val="ListBullet"/>
      </w:pPr>
      <w:r>
        <w:t>系统不能承诺接通率、永不封号或绕过运营商限制。</w:t>
      </w:r>
    </w:p>
    <w:p>
      <w:pPr>
        <w:pStyle w:val="Heading1"/>
      </w:pPr>
      <w:r>
        <w:t>四、推荐系统架构</w:t>
      </w:r>
    </w:p>
    <w:p>
      <w:r>
        <w:t>建议把通信、实时语音、知识库和业务集成拆成清晰的接口边界。你真正需要长期维护的核心不是重新实现 PBX，而是一个可替换的 AI 适配层和客户交付层。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层次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第一版选型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你的开发职责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电话接入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Asterisk/PJSIP；由 SmartCall 提供基础能力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线路配置、并发、号码路由、异常和录音策略。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呼叫业务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SmartCall 的 IVR/外呼/通话记录能力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补齐客户需要的任务、重拨、名单、黑名单和权限。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实时语音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云端流式 ASR/TTS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统一封装接口、超时、重试、降级和 8K 电话音频适配。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 适配层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自建 voice-ai-adapter 服务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接收会话事件，调用 LLM/RAG，返回结构化动作和文本。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知识库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MaxKB；复杂文档再评估 RAGFlow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导入、权限、版本、检索引用和业务系统同步。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业务系统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HTTP/Webhook/REST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 CRM、工单、订单、预约和结果回写。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数据与运维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MySQL/Redis/对象存储/监控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租户隔离、录音保留、审计、告警和成本统计。</w:t>
            </w:r>
          </w:p>
        </w:tc>
      </w:tr>
    </w:tbl>
    <w:p/>
    <w:p>
      <w:pPr>
        <w:pStyle w:val="Heading2"/>
      </w:pPr>
      <w:r>
        <w:t>建议的 AI 适配层接口</w:t>
      </w:r>
    </w:p>
    <w:p>
      <w:pPr>
        <w:pStyle w:val="ListBullet"/>
      </w:pPr>
      <w:r>
        <w:t>session.started / session.ended：会话生命周期和计费。</w:t>
      </w:r>
    </w:p>
    <w:p>
      <w:pPr>
        <w:pStyle w:val="ListBullet"/>
      </w:pPr>
      <w:r>
        <w:t>audio.input / transcript.partial / transcript.final：实时音频和识别结果。</w:t>
      </w:r>
    </w:p>
    <w:p>
      <w:pPr>
        <w:pStyle w:val="ListBullet"/>
      </w:pPr>
      <w:r>
        <w:t>agent.respond：输入上下文、客户身份、知识库范围，输出文本、动作和是否转人工。</w:t>
      </w:r>
    </w:p>
    <w:p>
      <w:pPr>
        <w:pStyle w:val="ListBullet"/>
      </w:pPr>
      <w:r>
        <w:t>tts.synthesize：文本、音色、语速、采样率，返回可播放音频。</w:t>
      </w:r>
    </w:p>
    <w:p>
      <w:pPr>
        <w:pStyle w:val="ListBullet"/>
      </w:pPr>
      <w:r>
        <w:t>call.control：播放、打断、转人工、重拨、挂断。</w:t>
      </w:r>
    </w:p>
    <w:p>
      <w:pPr>
        <w:pStyle w:val="ListBullet"/>
      </w:pPr>
      <w:r>
        <w:t>audit.event：敏感词、黑名单、授权和异常事件。</w:t>
      </w:r>
    </w:p>
    <w:p>
      <w:pPr>
        <w:pStyle w:val="Heading1"/>
      </w:pPr>
      <w:r>
        <w:t>五、开源项目选型结论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是否采用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定位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SmartCall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采用，作为第一版主骨架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电话业务、IVR、Asterisk 集成、录音、管理后台和 MaxKB 适配。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Asterisk/PJSIP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采用，但优先通过 SmartCall 使用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电话交换和 SIP 端点，不建议第一版从零重写。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MaxKB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优先采用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SmartCall 已有集成，适合快速交付第一批知识库问答项目。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RAGFlow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文档切片、复杂 PDF/扫描件和知识库治理需求明显时再引入。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FunASR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二期可选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客户要求本地 ASR 或云端语音成本较高时引入，先做离线和实时 8K POC。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Pipecat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不作为第一版主骨架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适合独立实时语音 Agent；如果采用，需重新建设中国电话线路和运营后台适配。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Dify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原型可用，白牌多租户谨慎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许可证和前端白牌限制会影响商业交付，不作为默认多租户底座。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Edge-TTS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不用于生产核心 TTS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在线服务，不满足本地化和供应商可控性要求。</w:t>
            </w:r>
          </w:p>
        </w:tc>
      </w:tr>
    </w:tbl>
    <w:p/>
    <w:p>
      <w:pPr>
        <w:pStyle w:val="Heading1"/>
      </w:pPr>
      <w:r>
        <w:t>六、通信资源策略：第三方接口与运营商直连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做法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责任和风险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MVP/首批客户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使用可签约的 CPaaS 或 SIP 服务；客户自己注册并持有账号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你不垫通信费用，客户承担线路资质和号码风控；你负责技术接入。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稳定交付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为客户提供线路选型、备案、监控和故障处理服务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收实施费和维保费，通信账单仍尽量直达客户。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规模化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基于真实月通话量与投诉数据谈一级 SIP/运营商资源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谈最低消费、并发、号码池、白名单、投诉率和 SLA。</w:t>
            </w:r>
          </w:p>
        </w:tc>
      </w:tr>
    </w:tbl>
    <w:p/>
    <w:p>
      <w:r>
        <w:t>不建议从运营商直谈作为第一步。运营商合作的价值不只在单价，还在号码资源、并发、备案、白名单、投诉处理和服务等级。没有规模时，固定接入和运维成本可能抵消分钟费优惠。</w:t>
      </w:r>
    </w:p>
    <w:p>
      <w:pPr>
        <w:pStyle w:val="Heading2"/>
      </w:pPr>
      <w:r>
        <w:t>商务谈判必须书面确认的项目</w:t>
      </w:r>
    </w:p>
    <w:p>
      <w:pPr>
        <w:pStyle w:val="ListBullet"/>
      </w:pPr>
      <w:r>
        <w:t>业务场景是否允许外呼，是否需要话术/资质备案。</w:t>
      </w:r>
    </w:p>
    <w:p>
      <w:pPr>
        <w:pStyle w:val="ListBullet"/>
      </w:pPr>
      <w:r>
        <w:t>主叫号码归属、号码池、白名单、黑名单和停复机规则。</w:t>
      </w:r>
    </w:p>
    <w:p>
      <w:pPr>
        <w:pStyle w:val="ListBullet"/>
      </w:pPr>
      <w:r>
        <w:t>SIP、WebSocket 或其他媒体接入方式，以及是否支持 8K 流式语音。</w:t>
      </w:r>
    </w:p>
    <w:p>
      <w:pPr>
        <w:pStyle w:val="ListBullet"/>
      </w:pPr>
      <w:r>
        <w:t>并发通道数、计费单位、未接通是否计费、最低消费和预付款。</w:t>
      </w:r>
    </w:p>
    <w:p>
      <w:pPr>
        <w:pStyle w:val="ListBullet"/>
      </w:pPr>
      <w:r>
        <w:t>录音、转写、媒体路径、数据保存位置和删除机制。</w:t>
      </w:r>
    </w:p>
    <w:p>
      <w:pPr>
        <w:pStyle w:val="ListBullet"/>
      </w:pPr>
      <w:r>
        <w:t>投诉、封号、异常呼叫和客户违规使用时的责任划分。</w:t>
      </w:r>
    </w:p>
    <w:p>
      <w:pPr>
        <w:pStyle w:val="ListBullet"/>
      </w:pPr>
      <w:r>
        <w:t>故障 SLA、技术支持、联调方式和迁移/退出方案。</w:t>
      </w:r>
    </w:p>
    <w:p>
      <w:pPr>
        <w:pStyle w:val="Heading1"/>
      </w:pPr>
      <w:r>
        <w:t>七、商业模式与利润模型</w:t>
      </w:r>
    </w:p>
    <w:p>
      <w:r>
        <w:t>建议把收入拆成实施、软件/维保和用量三部分，不要把利润建立在每分钟加几分钱上。通信、ASR、TTS 和大模型成本应独立核算。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收入项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包含内容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建议结算方式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初始实施费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部署、品牌、线路、话术、知识库、CRM 对接、测试上线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项目报价；按里程碑收款。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软件授权/平台费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系统使用、租户、权限、报表和基础功能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一次性买断或年度订阅，二选一并写清升级范围。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维保服务费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Bug 修复、版本更新、备份、监控和技术支持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年度合同，按服务等级分档。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通信与 AI 用量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线路、ASR、TTS、LLM、存储和带宽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优先客户直付；代收时按成本加成并设置最低消费。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二次开发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CRM、工单、特殊话术、数据报表和私有化适配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单独评估人日和验收标准。</w:t>
            </w:r>
          </w:p>
        </w:tc>
      </w:tr>
    </w:tbl>
    <w:p/>
    <w:p>
      <w:r>
        <w:t>毛利核算公式：</w:t>
      </w:r>
    </w:p>
    <w:p>
      <w:r>
        <w:t>实际毛利 = 客户收入 - 线路费 - ASR 费 - TTS 费 - LLM Token 费 - 存储/带宽 - 服务器折旧 - 人工支持 - 维护成本 - 税费。</w:t>
      </w:r>
    </w:p>
    <w:p>
      <w:r>
        <w:t>在没有拿到具体供应商合同价、客户平均通话时长、接通率、平均 TTS 字符量和转人工率之前，不要在文档中写死 0.11 元/分钟、0.16 元/分钟或固定利润率。这些只能作为待核价变量。</w:t>
      </w:r>
    </w:p>
    <w:p>
      <w:pPr>
        <w:pStyle w:val="Heading1"/>
      </w:pPr>
      <w:r>
        <w:t>八、POC 验收清单</w:t>
      </w:r>
    </w:p>
    <w:p>
      <w:r>
        <w:t>任何源码、OEM 或通信服务在付款前都应完成 POC。POC 不以“能拨通一通电话”为通过标准。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必须验证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记录方式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线路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注册、呼出、接通、忙线、拒接、超时、挂断、重拨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保存 SIP/服务商回执和通话 ID。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音频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8K 编解码、双向清晰度、回声、丢包、静音和录音完整性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原始录音、媒体指标和异常样本。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实时对话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首包延迟、用户打断、机器人抢话、连续两轮问答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逐通电话标记时间线。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知识库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答案引用、无答案兜底、越权问题、版本更新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固定问题集和人工评分。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异常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ASR/TTS/LLM 超时、Webhook 失败、服务重启、网络抖动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故障注入和降级结果。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业务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名单去重、黑名单、退订、转人工、结果回写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端到端订单/工单验收。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安全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租户隔离、权限、密钥、录音下载、审计和数据删除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安全测试记录。</w:t>
            </w:r>
          </w:p>
        </w:tc>
      </w:tr>
    </w:tbl>
    <w:p/>
    <w:p>
      <w:r>
        <w:t>可作为内部试运行目标的指标（不是对客户的无条件承诺）：首个可播放响应尽量控制在 1.5 秒左右，P95 不超过 2.5 秒；连续 50 通测试电话记录打断、抢话、挂断和录音异常；任何外部依赖超时都必须有可预期的提示、转人工或挂断策略。</w:t>
      </w:r>
    </w:p>
    <w:p>
      <w:pPr>
        <w:pStyle w:val="Heading1"/>
      </w:pPr>
      <w:r>
        <w:t>九、六周落地路线</w:t>
      </w:r>
    </w:p>
    <w:p>
      <w:pPr>
        <w:pStyle w:val="ListNumber"/>
      </w:pPr>
      <w:r>
        <w:t>第 1 周：确定一个合法、可说明授权来源的业务场景；联系两家 CPaaS/SIP 服务商，取得正式报价和技术参数；完成 SmartCall 仓库、许可证和部署环境审查。</w:t>
      </w:r>
    </w:p>
    <w:p>
      <w:pPr>
        <w:pStyle w:val="ListNumber"/>
      </w:pPr>
      <w:r>
        <w:t>第 2 周：部署 SmartCall 单体模式、Asterisk、MySQL、Redis 和 MaxKB；完成单号码手工呼叫、录音和基础 IVR。</w:t>
      </w:r>
    </w:p>
    <w:p>
      <w:pPr>
        <w:pStyle w:val="ListNumber"/>
      </w:pPr>
      <w:r>
        <w:t>第 3 周：实现 voice-ai-adapter，统一 ASR/TTS/LLM/RAG 接口；接入云端流式 ASR/TTS，加入超时、重试和降级。</w:t>
      </w:r>
    </w:p>
    <w:p>
      <w:pPr>
        <w:pStyle w:val="ListNumber"/>
      </w:pPr>
      <w:r>
        <w:t>第 4 周：接入一个真实业务系统，完成名单、黑名单、退订、转人工、结果回写和通话状态机。</w:t>
      </w:r>
    </w:p>
    <w:p>
      <w:pPr>
        <w:pStyle w:val="ListNumber"/>
      </w:pPr>
      <w:r>
        <w:t>第 5 周：完成并发、音频、打断、异常、权限、审计和成本监控测试；形成 POC 报告和交付清单。</w:t>
      </w:r>
    </w:p>
    <w:p>
      <w:pPr>
        <w:pStyle w:val="ListNumber"/>
      </w:pPr>
      <w:r>
        <w:t>第 6 周：只选择一个小批量客户试运行；根据真实数据决定是否引入本地 FunASR、RAGFlow 或自有 SIP 线路。</w:t>
      </w:r>
    </w:p>
    <w:p>
      <w:pPr>
        <w:pStyle w:val="Heading1"/>
      </w:pPr>
      <w:r>
        <w:t>十、合同与交付必须写清楚</w:t>
      </w:r>
    </w:p>
    <w:p>
      <w:pPr>
        <w:pStyle w:val="ListBullet"/>
      </w:pPr>
      <w:r>
        <w:t>本项目交付的是软件、部署和技术服务，不包含手机号/固话、线路、ASR、TTS、LLM 算力或运营商资质，除非另有书面约定。</w:t>
      </w:r>
    </w:p>
    <w:p>
      <w:pPr>
        <w:pStyle w:val="ListBullet"/>
      </w:pPr>
      <w:r>
        <w:t>客户负责名单来源、联系授权、企业资质、话术合规、黑名单和退订处理；客户对其业务内容和外呼行为负责。</w:t>
      </w:r>
    </w:p>
    <w:p>
      <w:pPr>
        <w:pStyle w:val="ListBullet"/>
      </w:pPr>
      <w:r>
        <w:t>系统不能规避运营商反诈、骚扰电话和号码风控规则，不承诺永不封号、固定接通率或固定分钟成本。</w:t>
      </w:r>
    </w:p>
    <w:p>
      <w:pPr>
        <w:pStyle w:val="ListBullet"/>
      </w:pPr>
      <w:r>
        <w:t>录音、转写和知识库数据的保存期限、访问权限、导出和删除方式必须写明。</w:t>
      </w:r>
    </w:p>
    <w:p>
      <w:pPr>
        <w:pStyle w:val="ListBullet"/>
      </w:pPr>
      <w:r>
        <w:t>买断不等于永久免费升级；维保范围、响应时间、版本更新和二次开发必须单独列明。</w:t>
      </w:r>
    </w:p>
    <w:p>
      <w:pPr>
        <w:pStyle w:val="ListBullet"/>
      </w:pPr>
      <w:r>
        <w:t>开源组件的许可证、版权、NOTICE 和第三方依赖清单作为交付附件。</w:t>
      </w:r>
    </w:p>
    <w:p>
      <w:pPr>
        <w:pStyle w:val="ListBullet"/>
      </w:pPr>
      <w:r>
        <w:t>若客户要求媒体不经过特定第三方服务，必须写成具体网络路径和服务边界，不能使用“完全不出内网”这类无法验证的宣传语。</w:t>
      </w:r>
    </w:p>
    <w:p>
      <w:pPr>
        <w:pStyle w:val="Heading1"/>
      </w:pPr>
      <w:r>
        <w:t>十一、需要继续核验的事项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事项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当前状态</w:t>
            </w:r>
          </w:p>
        </w:tc>
        <w:tc>
          <w:tcPr>
            <w:tcW w:type="dxa" w:w="3324"/>
            <w:vAlign w:val="center"/>
            <w:shd w:fill="1F4E78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下一步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SmartCall 外呼任务和并发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仓库有对应模块和扩展说明，实际质量未替你验证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拉起测试环境，做 50-100 通真实 POC。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云线路价格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文档中的区间只是参考，未形成你的合同报价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分别取得书面报价、计费样例和退费规则。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SIP media bypass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不能仅凭销售口头确认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要求技术确认单、抓包或联调结果。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FunASR 模型商业许可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代码许可证不能覆盖所有模型权重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逐个查看模型卡和权重许可。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客户业务合规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不能由软件文档替代法律意见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让客户提供资质和授权，必要时由专业律师审核。</w:t>
            </w:r>
          </w:p>
        </w:tc>
      </w:tr>
    </w:tbl>
    <w:p/>
    <w:p>
      <w:pPr>
        <w:pStyle w:val="Heading1"/>
      </w:pPr>
      <w:r>
        <w:t>十二、公开参考链接</w:t>
      </w:r>
    </w:p>
    <w:p>
      <w:pPr>
        <w:pStyle w:val="ListBullet"/>
      </w:pPr>
      <w:r>
        <w:t>SmartCall：https://gitee.com/gdzWork/SmartCall</w:t>
      </w:r>
    </w:p>
    <w:p>
      <w:pPr>
        <w:pStyle w:val="ListBullet"/>
      </w:pPr>
      <w:r>
        <w:t>Pipecat：https://github.com/pipecat-ai/pipecat</w:t>
      </w:r>
    </w:p>
    <w:p>
      <w:pPr>
        <w:pStyle w:val="ListBullet"/>
      </w:pPr>
      <w:r>
        <w:t>RAGFlow：https://github.com/infiniflow/ragflow</w:t>
      </w:r>
    </w:p>
    <w:p>
      <w:pPr>
        <w:pStyle w:val="ListBullet"/>
      </w:pPr>
      <w:r>
        <w:t>Dify：https://github.com/langgenius/dify</w:t>
      </w:r>
    </w:p>
    <w:p>
      <w:pPr>
        <w:pStyle w:val="ListBullet"/>
      </w:pPr>
      <w:r>
        <w:t>FunASR：https://github.com/modelscope/FunASR</w:t>
      </w:r>
    </w:p>
    <w:p>
      <w:pPr>
        <w:pStyle w:val="ListBullet"/>
      </w:pPr>
      <w:r>
        <w:t>Edge-TTS：https://github.com/rany2/edge-tts</w:t>
      </w:r>
    </w:p>
    <w:p>
      <w:pPr>
        <w:pStyle w:val="ListBullet"/>
      </w:pPr>
      <w:r>
        <w:t>Asterisk：https://www.asterisk.org/</w:t>
      </w:r>
    </w:p>
    <w:p>
      <w:pPr>
        <w:ind w:left="283" w:right="283"/>
      </w:pPr>
      <w:r>
        <w:rPr>
          <w:b/>
          <w:color w:val="C0504D"/>
        </w:rPr>
        <w:t>核验日期：</w:t>
      </w:r>
      <w:r>
        <w:t>以上开源仓库和协议结论按 2026-08-18 的公开页面核验。仓库、许可证、服务价格和供应商条款会变化，正式采购和交付前必须重新核对。本文不是法律意见。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外拨机器人调研与落地方案 V2.0 | 2026-08-18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