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34"/>
        </w:rPr>
        <w:t>Long-run return distributions of US-listed stocks</w:t>
      </w:r>
    </w:p>
    <w:p>
      <w:pPr>
        <w:jc w:val="center"/>
      </w:pPr>
      <w:r>
        <w:rPr>
          <w:i/>
          <w:sz w:val="22"/>
        </w:rPr>
        <w:t>CRSP monthly, 31,565 common stocks, Dec 1925 – Dec 2025</w:t>
      </w:r>
    </w:p>
    <w:p>
      <w:pPr>
        <w:jc w:val="center"/>
      </w:pPr>
      <w:r>
        <w:rPr>
          <w:i/>
          <w:sz w:val="20"/>
        </w:rPr>
        <w:t>Calendar-window methodology: every 10-year and 30-year window analyzed on its own cohort</w:t>
      </w:r>
    </w:p>
    <w:p/>
    <w:p>
      <w:pPr>
        <w:pStyle w:val="Heading1"/>
      </w:pPr>
      <w:r>
        <w:rPr>
          <w:color w:val="1A365D"/>
        </w:rPr>
        <w:t>TL;DR</w:t>
      </w:r>
    </w:p>
    <w:p>
      <w:pPr>
        <w:pStyle w:val="ListBullet"/>
      </w:pPr>
      <w:r>
        <w:t xml:space="preserve">The share of stocks with a positive return is </w:t>
      </w:r>
      <w:r>
        <w:rPr>
          <w:b/>
        </w:rPr>
        <w:t>deeply period-dependent</w:t>
      </w:r>
      <w:r>
        <w:t xml:space="preserve">. Across the ten non-overlapping decades since 1925, % positive (nominal) ranges from </w:t>
      </w:r>
      <w:r>
        <w:rPr>
          <w:b/>
        </w:rPr>
        <w:t>40.7 %</w:t>
      </w:r>
      <w:r>
        <w:t xml:space="preserve"> (1925-1935) to </w:t>
      </w:r>
      <w:r>
        <w:rPr>
          <w:b/>
        </w:rPr>
        <w:t>89.0 %</w:t>
      </w:r>
      <w:r>
        <w:t xml:space="preserve"> (1955-1965).</w:t>
      </w:r>
    </w:p>
    <w:p>
      <w:pPr>
        <w:pStyle w:val="ListBullet"/>
      </w:pPr>
      <w:r>
        <w:t xml:space="preserve">In real (CPI-adjusted) terms, the worst decade is </w:t>
      </w:r>
      <w:r>
        <w:rPr>
          <w:b/>
        </w:rPr>
        <w:t>1965-1975</w:t>
      </w:r>
      <w:r>
        <w:t xml:space="preserve"> — just </w:t>
      </w:r>
      <w:r>
        <w:rPr>
          <w:b/>
        </w:rPr>
        <w:t>38.0 %</w:t>
      </w:r>
      <w:r>
        <w:t xml:space="preserve"> of stocks produced a positive real return as stagflation eroded nominal gains.</w:t>
      </w:r>
    </w:p>
    <w:p>
      <w:pPr>
        <w:pStyle w:val="ListBullet"/>
      </w:pPr>
      <w:r>
        <w:t xml:space="preserve">The market return and the share of individual stocks beating it </w:t>
      </w:r>
      <w:r>
        <w:rPr>
          <w:b/>
        </w:rPr>
        <w:t>diverge sharply in mega-cap-concentrated bull decades</w:t>
      </w:r>
      <w:r>
        <w:t>: 1985-1995 (15.4 %), 2015-2025 (16.2 %).</w:t>
      </w:r>
    </w:p>
    <w:p>
      <w:pPr>
        <w:pStyle w:val="ListBullet"/>
      </w:pPr>
      <w:r>
        <w:t xml:space="preserve">Over 30-year windows, </w:t>
      </w:r>
      <w:r>
        <w:rPr>
          <w:b/>
        </w:rPr>
        <w:t>56.1 % – 88.2 %</w:t>
      </w:r>
      <w:r>
        <w:t xml:space="preserve"> of stocks produced a positive nominal return. The share fell from </w:t>
      </w:r>
      <w:r>
        <w:rPr>
          <w:b/>
        </w:rPr>
        <w:t>88.2 %</w:t>
      </w:r>
      <w:r>
        <w:t xml:space="preserve"> in 1955-1985 to </w:t>
      </w:r>
      <w:r>
        <w:rPr>
          <w:b/>
        </w:rPr>
        <w:t>56.1 %</w:t>
      </w:r>
      <w:r>
        <w:t xml:space="preserve"> in 1985-2015.</w:t>
      </w:r>
    </w:p>
    <w:p>
      <w:pPr>
        <w:pStyle w:val="ListBullet"/>
      </w:pPr>
      <w:r>
        <w:t xml:space="preserve">Over each stock's entire listed life (Q3), only </w:t>
      </w:r>
      <w:r>
        <w:rPr>
          <w:b/>
        </w:rPr>
        <w:t>48.1 %</w:t>
      </w:r>
      <w:r>
        <w:t xml:space="preserve"> produced a positive nominal return and </w:t>
      </w:r>
      <w:r>
        <w:rPr>
          <w:b/>
        </w:rPr>
        <w:t>41.3 %</w:t>
      </w:r>
      <w:r>
        <w:t xml:space="preserve"> produced a positive real return.</w:t>
      </w:r>
    </w:p>
    <w:p>
      <w:pPr>
        <w:pStyle w:val="Heading1"/>
      </w:pPr>
      <w:r>
        <w:rPr>
          <w:color w:val="1A365D"/>
        </w:rPr>
        <w:t>1. Data &amp; universe</w:t>
      </w:r>
    </w:p>
    <w:p>
      <w:r>
        <w:t>Source: CRSP Monthly Stock File (data/data.csv, 5,307,138 rows, 40,499 raw PERMNOs). CPI-U All Urban Consumers, not seasonally adjusted (BLS monthly, 1925-2025), cached at data/cpi.csv. Full-span cumulative inflation 1.0 — correction: 18.1× (2.94 % / yr).</w:t>
      </w:r>
    </w:p>
    <w:p>
      <w:r>
        <w:rPr>
          <w:b/>
        </w:rPr>
        <w:t xml:space="preserve">Universe: </w:t>
      </w:r>
      <w:r>
        <w:t>SecurityType == 'EQTY' AND IssuerType != 'REIT' — 31,565 common stocks (22,623 CORP + 8,867 ACOR including 1,377 ADRs). Excludes closed-end funds &amp; ETFs (classified as 'FUND' in CRSP), derivatives ('DERV'), and REITs.</w:t>
      </w:r>
    </w:p>
    <w:p>
      <w:r>
        <w:t>Span: 1925-12 – 2025-12 (1,201 months).</w:t>
      </w:r>
    </w:p>
    <w:p>
      <w:pPr>
        <w:pStyle w:val="Heading1"/>
      </w:pPr>
      <w:r>
        <w:rPr>
          <w:color w:val="1A365D"/>
        </w:rPr>
        <w:t>2. Methodology — calendar-aligned windows</w:t>
      </w:r>
    </w:p>
    <w:p>
      <w:r>
        <w:t>Per CLAUDE.md the analysis must be survivorship-bias-free: every stock that ever listed is retained, with delisting handled by terminating the return stream at the delisting month (CRSP embeds the delisting return in MthRet when MthRetFlg == 'DE').</w:t>
      </w:r>
    </w:p>
    <w:p>
      <w:r>
        <w:rPr>
          <w:b/>
        </w:rPr>
        <w:t>For each calendar window (T, T+N]:</w:t>
      </w:r>
    </w:p>
    <w:p>
      <w:pPr>
        <w:pStyle w:val="ListNumber"/>
      </w:pPr>
      <w:r>
        <w:t>Cohort = every common stock with a row at month T (listed at end of month T). Stocks that IPO after T are not in this window's cohort.</w:t>
      </w:r>
    </w:p>
    <w:p>
      <w:pPr>
        <w:pStyle w:val="ListNumber"/>
      </w:pPr>
      <w:r>
        <w:t>Window return = ∏(1 + MthRet) − 1 compounded over months strictly after T and up to T+N, truncated at the stock's last listed month.</w:t>
      </w:r>
    </w:p>
    <w:p>
      <w:pPr>
        <w:pStyle w:val="ListNumber"/>
      </w:pPr>
      <w:r>
        <w:t>Partial windows (stock delists during the window) are kept, not dropped.</w:t>
      </w:r>
    </w:p>
    <w:p>
      <w:r>
        <w:rPr>
          <w:b/>
        </w:rPr>
        <w:t>Windows used: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Horizon</w:t>
            </w:r>
          </w:p>
        </w:tc>
        <w:tc>
          <w:tcPr>
            <w:tcW w:type="dxa" w:w="6912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Windows</w:t>
            </w:r>
          </w:p>
        </w:tc>
        <w:tc>
          <w:tcPr>
            <w:tcW w:type="dxa" w:w="144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Months each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10-year</w:t>
            </w:r>
          </w:p>
        </w:tc>
        <w:tc>
          <w:tcPr>
            <w:tcW w:type="dxa" w:w="6912"/>
          </w:tcPr>
          <w:p>
            <w:pPr>
              <w:jc w:val="right"/>
            </w:pPr>
            <w:r/>
            <w:r>
              <w:rPr>
                <w:sz w:val="18"/>
              </w:rPr>
              <w:t>1925-12 → 1935-12, 1935-12 → 1945-12, …, 2015-12 → 2025-12 (10 decades)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120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30-year</w:t>
            </w:r>
          </w:p>
        </w:tc>
        <w:tc>
          <w:tcPr>
            <w:tcW w:type="dxa" w:w="6912"/>
          </w:tcPr>
          <w:p>
            <w:pPr>
              <w:jc w:val="right"/>
            </w:pPr>
            <w:r/>
            <w:r>
              <w:rPr>
                <w:sz w:val="18"/>
              </w:rPr>
              <w:t>1925-12 → 1955-12, 1955-12 → 1985-12, 1985-12 → 2015-12 (3 eras)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360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Full-life</w:t>
            </w:r>
          </w:p>
        </w:tc>
        <w:tc>
          <w:tcPr>
            <w:tcW w:type="dxa" w:w="6912"/>
          </w:tcPr>
          <w:p>
            <w:pPr>
              <w:jc w:val="right"/>
            </w:pPr>
            <w:r/>
            <w:r>
              <w:rPr>
                <w:sz w:val="18"/>
              </w:rPr>
              <w:t>per-stock: first listed month → last listed month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variable</w:t>
            </w:r>
          </w:p>
        </w:tc>
      </w:tr>
    </w:tbl>
    <w:p/>
    <w:p>
      <w:r>
        <w:t>Real returns: monthly real return (1 + MthRet) / (1 + π) − 1, where π = CPI_t / CPI_{t-1} − 1, then compounded the same way as nominal.</w:t>
      </w:r>
    </w:p>
    <w:p>
      <w:r>
        <w:rPr>
          <w:b/>
        </w:rPr>
        <w:t>Benchmark:</w:t>
      </w:r>
    </w:p>
    <w:p>
      <w:pPr>
        <w:pStyle w:val="ListBullet"/>
      </w:pPr>
      <w:r>
        <w:t>CRSP value-weighted total return (vwretd) — with dividends; apples-to-apples with MthRet.</w:t>
      </w:r>
    </w:p>
    <w:p>
      <w:pPr>
        <w:pStyle w:val="ListBullet"/>
      </w:pPr>
      <w:r>
        <w:t>S&amp;P 500 price index (sprtrn) — no dividends; reported for reference.</w:t>
      </w:r>
    </w:p>
    <w:p>
      <w:pPr>
        <w:pStyle w:val="ListBullet"/>
      </w:pPr>
      <w:r>
        <w:t>Both are compounded over the same calendar months as the window. '% beating market' = share of the cohort whose nominal return exceeded the benchmark.</w:t>
      </w:r>
    </w:p>
    <w:p>
      <w:pPr>
        <w:pStyle w:val="Heading1"/>
      </w:pPr>
      <w:r>
        <w:rPr>
          <w:color w:val="1A365D"/>
        </w:rPr>
        <w:t>3. Q1 — 10-year calendar windows</w:t>
      </w:r>
    </w:p>
    <w:p>
      <w:pPr>
        <w:pStyle w:val="Heading2"/>
      </w:pPr>
      <w:r>
        <w:rPr>
          <w:color w:val="1A365D"/>
        </w:rPr>
        <w:t>Share of stocks positive, and % beating market, decade by decade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Decade</w:t>
            </w:r>
          </w:p>
        </w:tc>
        <w:tc>
          <w:tcPr>
            <w:tcW w:type="dxa" w:w="1152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872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positive nominal</w:t>
            </w:r>
          </w:p>
        </w:tc>
        <w:tc>
          <w:tcPr>
            <w:tcW w:type="dxa" w:w="1728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positive real</w:t>
            </w:r>
          </w:p>
        </w:tc>
        <w:tc>
          <w:tcPr>
            <w:tcW w:type="dxa" w:w="230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Market return (vwretd)</w:t>
            </w:r>
          </w:p>
        </w:tc>
        <w:tc>
          <w:tcPr>
            <w:tcW w:type="dxa" w:w="1872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beating market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1925-1935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508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40.7 %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48.8 %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+48 %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28.1 %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1935-1945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717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87.6 %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83.8 %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+137 %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50.5 %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1945-1955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852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88.5 %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78.9 %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+302 %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29.2 %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1955-1965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1,050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89.0 %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85.8 %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+194 %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41.0 %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1965-1975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2,168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59.3 %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38.0 %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+31 %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42.7 %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1975-1985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5,073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87.8 %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79.7 %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+326 %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47.4 %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1985-1995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6,298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57.5 %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52.1 %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+265 %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15.4 %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1995-2005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7,835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60.8 %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56.9 %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+144 %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27.6 %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2005-2015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5,830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55.5 %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50.7 %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+93 %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25.0 %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/>
            <w:r>
              <w:rPr>
                <w:sz w:val="18"/>
              </w:rPr>
              <w:t>2015-2025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8"/>
              </w:rPr>
              <w:t>4,836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62.2 %</w:t>
            </w:r>
          </w:p>
        </w:tc>
        <w:tc>
          <w:tcPr>
            <w:tcW w:type="dxa" w:w="1728"/>
          </w:tcPr>
          <w:p>
            <w:pPr>
              <w:jc w:val="right"/>
            </w:pPr>
            <w:r/>
            <w:r>
              <w:rPr>
                <w:sz w:val="18"/>
              </w:rPr>
              <w:t>56.8 %</w:t>
            </w:r>
          </w:p>
        </w:tc>
        <w:tc>
          <w:tcPr>
            <w:tcW w:type="dxa" w:w="2304"/>
          </w:tcPr>
          <w:p>
            <w:pPr>
              <w:jc w:val="right"/>
            </w:pPr>
            <w:r/>
            <w:r>
              <w:rPr>
                <w:sz w:val="18"/>
              </w:rPr>
              <w:t>+252 %</w:t>
            </w:r>
          </w:p>
        </w:tc>
        <w:tc>
          <w:tcPr>
            <w:tcW w:type="dxa" w:w="1872"/>
          </w:tcPr>
          <w:p>
            <w:pPr>
              <w:jc w:val="right"/>
            </w:pPr>
            <w:r/>
            <w:r>
              <w:rPr>
                <w:sz w:val="18"/>
              </w:rPr>
              <w:t>16.2 %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14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tion_10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14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5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t_positive_10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A365D"/>
        </w:rPr>
        <w:t>Medians and percentiles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44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Decade</w:t>
            </w:r>
          </w:p>
        </w:tc>
        <w:tc>
          <w:tcPr>
            <w:tcW w:type="dxa" w:w="1008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Basis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p5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p25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Median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p75</w:t>
            </w:r>
          </w:p>
        </w:tc>
        <w:tc>
          <w:tcPr>
            <w:tcW w:type="dxa" w:w="144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p95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1925-1935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-96.8 %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-75.4 %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-23.9 %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+68.7 %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+334.0 %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1925-1935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-95.8 %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-68.5 %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-6.6 %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+104.8 %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+463.0 %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1935-1945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-58.9 %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+60.7 %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+140.1 %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+266.2 %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+596.4 %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1935-1945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-62.4 %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+25.1 %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+83.8 %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+177.7 %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+439.8 %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1945-1955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-41.2 %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+62.4 %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+164.9 %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+345.5 %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+790.7 %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1945-1955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-60.0 %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+10.5 %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+79.9 %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+204.6 %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+504.9 %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1955-1965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-28.6 %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+55.8 %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+152.9 %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+278.6 %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+593.6 %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1955-1965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-38.2 %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+35.0 %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+114.1 %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+219.2 %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+484.5 %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1965-1975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-80.0 %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-31.2 %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+16.8 %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+85.3 %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+292.7 %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1965-1975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-87.7 %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-58.5 %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-23.5 %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+31.2 %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+162.4 %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1975-1985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-54.2 %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+85.7 %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+295.5 %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+654.6 %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+2033.1 %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1975-1985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-73.4 %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+19.1 %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+133.3 %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+317.3 %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+1016.4 %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1985-1995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-96.0 %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-58.3 %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+24.7 %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+162.0 %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+555.3 %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1985-1995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-96.8 %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-65.5 %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+6.6 %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+101.9 %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+368.8 %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1995-2005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-96.7 %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-54.0 %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+37.5 %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+161.8 %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+618.9 %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1995-2005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-97.2 %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-60.4 %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+21.1 %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+121.5 %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+467.1 %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2005-2015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-97.6 %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-59.0 %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+12.0 %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+92.7 %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+356.2 %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2005-2015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-98.0 %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-65.1 %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+0.8 %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+65.7 %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+281.6 %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2015-2025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-99.1 %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-44.4 %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+38.7 %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+157.2 %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+623.2 %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  <w:r>
              <w:rPr>
                <w:sz w:val="18"/>
              </w:rPr>
              <w:t>2015-2025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-99.3 %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-56.6 %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+17.6 %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+98.0 %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+438.8 %</w:t>
            </w:r>
          </w:p>
        </w:tc>
      </w:tr>
    </w:tbl>
    <w:p/>
    <w:p>
      <w:pPr>
        <w:pStyle w:val="Heading2"/>
      </w:pPr>
      <w:r>
        <w:rPr>
          <w:color w:val="1A365D"/>
        </w:rPr>
        <w:t>Period-by-period interpretation</w:t>
      </w:r>
    </w:p>
    <w:p>
      <w:pPr>
        <w:pStyle w:val="ListBullet"/>
      </w:pPr>
      <w:r>
        <w:rPr>
          <w:b/>
        </w:rPr>
        <w:t>1925-1935.</w:t>
      </w:r>
      <w:r>
        <w:t xml:space="preserve"> The Great Depression decade. Only 40.7 % of stocks finished positive in nominal terms — but 48.8 % finished positive in real terms because the price level fell ~20 % over the decade.</w:t>
      </w:r>
    </w:p>
    <w:p>
      <w:pPr>
        <w:pStyle w:val="ListBullet"/>
      </w:pPr>
      <w:r>
        <w:rPr>
          <w:b/>
        </w:rPr>
        <w:t>1935-1945 through 1955-1965.</w:t>
      </w:r>
      <w:r>
        <w:t xml:space="preserve"> Three consecutive decades with ~85-89 % of stocks positive. Post-Depression recovery, WWII industrial expansion, post-war boom.</w:t>
      </w:r>
    </w:p>
    <w:p>
      <w:pPr>
        <w:pStyle w:val="ListBullet"/>
      </w:pPr>
      <w:r>
        <w:rPr>
          <w:b/>
        </w:rPr>
        <w:t>1965-1975.</w:t>
      </w:r>
      <w:r>
        <w:t xml:space="preserve"> Stagflation. 59 % positive nominal collapses to 38 % positive in real terms — the single worst decade on record for real stock returns.</w:t>
      </w:r>
    </w:p>
    <w:p>
      <w:pPr>
        <w:pStyle w:val="ListBullet"/>
      </w:pPr>
      <w:r>
        <w:rPr>
          <w:b/>
        </w:rPr>
        <w:t>1975-1985.</w:t>
      </w:r>
      <w:r>
        <w:t xml:space="preserve"> Strong recovery decade. 88 % positive nominal, 80 % positive real, median real return +133 %.</w:t>
      </w:r>
    </w:p>
    <w:p>
      <w:pPr>
        <w:pStyle w:val="ListBullet"/>
      </w:pPr>
      <w:r>
        <w:rPr>
          <w:b/>
        </w:rPr>
        <w:t>1985-1995 through 2005-2015.</w:t>
      </w:r>
      <w:r>
        <w:t xml:space="preserve"> Three decades in the 55-61 % positive band. The median individual stock had a modest real return in the low single digits.</w:t>
      </w:r>
    </w:p>
    <w:p>
      <w:pPr>
        <w:pStyle w:val="ListBullet"/>
      </w:pPr>
      <w:r>
        <w:rPr>
          <w:b/>
        </w:rPr>
        <w:t>1985-1995 and 2015-2025.</w:t>
      </w:r>
      <w:r>
        <w:t xml:space="preserve"> The most mega-cap-concentrated decades: the market returned +265 % and +252 % respectively, but only 15-16 % of stocks beat the market. Cap-weighted index returns are dominated by a small set of mega-cap names.</w:t>
      </w:r>
    </w:p>
    <w:p>
      <w:pPr>
        <w:pStyle w:val="Heading1"/>
      </w:pPr>
      <w:r>
        <w:rPr>
          <w:color w:val="1A365D"/>
        </w:rPr>
        <w:t>4. Q2 — 30-year calendar windows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368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008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 nom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 real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Market return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beat mkt</w:t>
            </w:r>
          </w:p>
        </w:tc>
        <w:tc>
          <w:tcPr>
            <w:tcW w:type="dxa" w:w="144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Median nom</w:t>
            </w:r>
          </w:p>
        </w:tc>
        <w:tc>
          <w:tcPr>
            <w:tcW w:type="dxa" w:w="144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Median real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sz w:val="18"/>
              </w:rPr>
              <w:t>1925-1955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508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67.1 %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67.9 %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+1313 %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19.1 %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+170.5 %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+126.1 %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sz w:val="18"/>
              </w:rPr>
              <w:t>1955-1985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1,050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88.2 %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79.8 %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+1542 %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28.4 %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+451.4 %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+160.4 %</w:t>
            </w:r>
          </w:p>
        </w:tc>
      </w:tr>
      <w:tr>
        <w:tc>
          <w:tcPr>
            <w:tcW w:type="dxa" w:w="1368"/>
          </w:tcPr>
          <w:p>
            <w:pPr>
              <w:jc w:val="left"/>
            </w:pPr>
            <w:r/>
            <w:r>
              <w:rPr>
                <w:sz w:val="18"/>
              </w:rPr>
              <w:t>1985-2015</w:t>
            </w:r>
          </w:p>
        </w:tc>
        <w:tc>
          <w:tcPr>
            <w:tcW w:type="dxa" w:w="1008"/>
          </w:tcPr>
          <w:p>
            <w:pPr>
              <w:jc w:val="right"/>
            </w:pPr>
            <w:r/>
            <w:r>
              <w:rPr>
                <w:sz w:val="18"/>
              </w:rPr>
              <w:t>6,298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56.1 %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51.8 %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+1620 %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8.4 %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+25.0 %</w:t>
            </w:r>
          </w:p>
        </w:tc>
        <w:tc>
          <w:tcPr>
            <w:tcW w:type="dxa" w:w="1440"/>
          </w:tcPr>
          <w:p>
            <w:pPr>
              <w:jc w:val="right"/>
            </w:pPr>
            <w:r/>
            <w:r>
              <w:rPr>
                <w:sz w:val="18"/>
              </w:rPr>
              <w:t>+5.8 %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145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iation_30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14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590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t_positive_30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A365D"/>
        </w:rPr>
        <w:t>Interpretation</w:t>
      </w:r>
    </w:p>
    <w:p>
      <w:pPr>
        <w:pStyle w:val="ListBullet"/>
      </w:pPr>
      <w:r>
        <w:rPr>
          <w:b/>
        </w:rPr>
        <w:t>1955-1985</w:t>
      </w:r>
      <w:r>
        <w:t xml:space="preserve"> is the strongest 30-year window: post-war prosperity swallowed the 1965-1975 stagflation shock and still left ~88 % of the 1955 cohort positive.</w:t>
      </w:r>
    </w:p>
    <w:p>
      <w:pPr>
        <w:pStyle w:val="ListBullet"/>
      </w:pPr>
      <w:r>
        <w:rPr>
          <w:b/>
        </w:rPr>
        <w:t>1985-2015</w:t>
      </w:r>
      <w:r>
        <w:t xml:space="preserve"> has the lowest share of stocks positive (56 %) despite the highest market total return (+1,620 %). Only 1 in 12 stocks beat the market.</w:t>
      </w:r>
    </w:p>
    <w:p>
      <w:pPr>
        <w:pStyle w:val="ListBullet"/>
      </w:pPr>
      <w:r>
        <w:rPr>
          <w:b/>
        </w:rPr>
        <w:t>1925-1955</w:t>
      </w:r>
      <w:r>
        <w:t xml:space="preserve"> has a large partial-return tail (small cohort of 508 stocks, many wiped out in the Depression).</w:t>
      </w:r>
    </w:p>
    <w:p>
      <w:pPr>
        <w:pStyle w:val="Heading1"/>
      </w:pPr>
      <w:r>
        <w:rPr>
          <w:color w:val="1A365D"/>
        </w:rPr>
        <w:t>5. Q3 — Full-life per stock</w:t>
      </w:r>
    </w:p>
    <w:p>
      <w:r>
        <w:t>One observation per PERMNO, compounding MthRet from the stock's first to last listed month. This is the only horizon that remains stock-anchored.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216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Basis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positive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Median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Mean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31,565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48.1 %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-7.4 %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295×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4,421,137×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/>
            <w:r>
              <w:rPr>
                <w:sz w:val="18"/>
              </w:rPr>
              <w:t>Real (CPI-adj)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31,565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41.3 %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-29.3 %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20×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245,578×</w:t>
            </w:r>
          </w:p>
        </w:tc>
      </w:tr>
    </w:tbl>
    <w:p/>
    <w:p>
      <w:r>
        <w:rPr>
          <w:b/>
        </w:rPr>
        <w:t>Percentiles: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728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Basis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p5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p25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Median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p75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p95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sz w:val="18"/>
              </w:rPr>
              <w:t>Nominal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-99.2 %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-86.4 %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-7.4 %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+179.8 %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+3909.2 %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/>
            <w:r>
              <w:rPr>
                <w:sz w:val="18"/>
              </w:rPr>
              <w:t>Real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-99.4 %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-89.9 %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-29.3 %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+95.1 %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+1324.3 %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876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fulllife_nom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87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876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fulllife_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87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Across the entire lifespan of every US-listed common stock, the median experience is a nominal loss of ~7 % and a real loss of ~29 %. The mean is inflated by a small number of 100-year compounders — one stock returned 44,211× nominal — but half the universe never crosses break-even.</w:t>
      </w:r>
    </w:p>
    <w:p>
      <w:pPr>
        <w:pStyle w:val="Heading1"/>
      </w:pPr>
      <w:r>
        <w:rPr>
          <w:color w:val="1A365D"/>
        </w:rPr>
        <w:t>6. Do stocks beat the market?</w:t>
      </w:r>
    </w:p>
    <w:p>
      <w:r>
        <w:t>Compounded over exactly the same months as the stock / window.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88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Horizon &amp; window</w:t>
            </w:r>
          </w:p>
        </w:tc>
        <w:tc>
          <w:tcPr>
            <w:tcW w:type="dxa" w:w="12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88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beat CRSP VW market</w:t>
            </w:r>
          </w:p>
        </w:tc>
        <w:tc>
          <w:tcPr>
            <w:tcW w:type="dxa" w:w="2880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beat S&amp;P 500 (price)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1925-1935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508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28.1 %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38.2 %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1935-1945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717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50.5 %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83.0 %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1945-1955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852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29.2 %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50.6 %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1955-1965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1,050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41.0 %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62.8 %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1965-1975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2,168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42.7 %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61.3 %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1975-1985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5,073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47.4 %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68.0 %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1985-1995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6,298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15.4 %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21.9 %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1995-2005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7,835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27.6 %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34.4 %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2005-2015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5,830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25.0 %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31.6 %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10y 2015-2025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4,836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16.2 %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17.4 %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30y 1925-1955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508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19.1 %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45.9 %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30y 1955-1985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1,050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28.4 %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53.6 %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30y 1985-2015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6,298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8.4 %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13.3 %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/>
            <w:r>
              <w:rPr>
                <w:sz w:val="18"/>
              </w:rPr>
              <w:t>Full-life</w:t>
            </w:r>
          </w:p>
        </w:tc>
        <w:tc>
          <w:tcPr>
            <w:tcW w:type="dxa" w:w="1296"/>
          </w:tcPr>
          <w:p>
            <w:pPr>
              <w:jc w:val="right"/>
            </w:pPr>
            <w:r/>
            <w:r>
              <w:rPr>
                <w:sz w:val="18"/>
              </w:rPr>
              <w:t>31,565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27.6 %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sz w:val="18"/>
              </w:rPr>
              <w:t>33.4 %</w:t>
            </w:r>
          </w:p>
        </w:tc>
      </w:tr>
    </w:tbl>
    <w:p/>
    <w:p>
      <w:r>
        <w:rPr>
          <w:b/>
        </w:rPr>
        <w:t>Full-span benchmarks (1925-12 to 2025-12):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489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Index</w:t>
            </w:r>
          </w:p>
        </w:tc>
        <w:tc>
          <w:tcPr>
            <w:tcW w:type="dxa" w:w="3456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Cumulative total return</w:t>
            </w:r>
          </w:p>
        </w:tc>
        <w:tc>
          <w:tcPr>
            <w:tcW w:type="dxa" w:w="1584"/>
            <w:shd w:val="clear" w:color="auto" w:fill="E2E8F0"/>
          </w:tcPr>
          <w:p>
            <w:pPr>
              <w:jc w:val="center"/>
            </w:pPr>
            <w:r/>
            <w:r>
              <w:rPr>
                <w:b/>
                <w:sz w:val="18"/>
              </w:rPr>
              <w:t>CAGR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sz w:val="18"/>
              </w:rPr>
              <w:t>CRSP value-weighted US equity (incl. dividends)</w:t>
            </w:r>
          </w:p>
        </w:tc>
        <w:tc>
          <w:tcPr>
            <w:tcW w:type="dxa" w:w="3456"/>
          </w:tcPr>
          <w:p>
            <w:pPr>
              <w:jc w:val="right"/>
            </w:pPr>
            <w:r/>
            <w:r>
              <w:rPr>
                <w:sz w:val="18"/>
              </w:rPr>
              <w:t>1,405,980 % (14,061×)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10.01 %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sz w:val="18"/>
              </w:rPr>
              <w:t>S&amp;P 500 price index (ex-dividends)</w:t>
            </w:r>
          </w:p>
        </w:tc>
        <w:tc>
          <w:tcPr>
            <w:tcW w:type="dxa" w:w="3456"/>
          </w:tcPr>
          <w:p>
            <w:pPr>
              <w:jc w:val="right"/>
            </w:pPr>
            <w:r/>
            <w:r>
              <w:rPr>
                <w:sz w:val="18"/>
              </w:rPr>
              <w:t>54,840 % (549×)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6.51 %</w:t>
            </w:r>
          </w:p>
        </w:tc>
      </w:tr>
      <w:tr>
        <w:tc>
          <w:tcPr>
            <w:tcW w:type="dxa" w:w="4896"/>
          </w:tcPr>
          <w:p>
            <w:pPr>
              <w:jc w:val="left"/>
            </w:pPr>
            <w:r/>
            <w:r>
              <w:rPr>
                <w:sz w:val="18"/>
              </w:rPr>
              <w:t>CPI-U (inflation)</w:t>
            </w:r>
          </w:p>
        </w:tc>
        <w:tc>
          <w:tcPr>
            <w:tcW w:type="dxa" w:w="3456"/>
          </w:tcPr>
          <w:p>
            <w:pPr>
              <w:jc w:val="right"/>
            </w:pPr>
            <w:r/>
            <w:r>
              <w:rPr>
                <w:sz w:val="18"/>
              </w:rPr>
              <w:t>1,710 % (18.1×)</w:t>
            </w:r>
          </w:p>
        </w:tc>
        <w:tc>
          <w:tcPr>
            <w:tcW w:type="dxa" w:w="1584"/>
          </w:tcPr>
          <w:p>
            <w:pPr>
              <w:jc w:val="right"/>
            </w:pPr>
            <w:r/>
            <w:r>
              <w:rPr>
                <w:sz w:val="18"/>
              </w:rPr>
              <w:t>2.94 %</w:t>
            </w:r>
          </w:p>
        </w:tc>
      </w:tr>
    </w:tbl>
    <w:p/>
    <w:p>
      <w:r>
        <w:t>The sharp declines in '% beating the market' in 1985-1995, 2015-2025, and over the full 1985-2015 30-year window reflect the rise of extreme mega-cap dominance in the index return. The index compounds at a double-digit rate, but the share of individual stocks that keep up with it has been falling.</w:t>
      </w:r>
    </w:p>
    <w:p>
      <w:pPr>
        <w:pStyle w:val="Heading1"/>
      </w:pPr>
      <w:r>
        <w:rPr>
          <w:color w:val="1A365D"/>
        </w:rPr>
        <w:t>7. Caveats</w:t>
      </w:r>
    </w:p>
    <w:p>
      <w:pPr>
        <w:pStyle w:val="ListNumber"/>
      </w:pPr>
      <w:r>
        <w:t>1. Delisting returns are not always explicitly provided. Only 3,100 of 31,565 stocks have an explicit CRSP delisting return (MthRetFlg == 'DE'); the remainder simply stop appearing at delisting. Methodology terminates the return at the last observed month. Applying the Shumway (1997) −30 % correction to performance-related delistings without explicit returns moves headline percentages by less than 1 point.</w:t>
      </w:r>
    </w:p>
    <w:p>
      <w:pPr>
        <w:pStyle w:val="ListNumber"/>
      </w:pPr>
      <w:r>
        <w:t>2. Not-traded months (1.6 % of rows, flag 'NT') have MthRet set to 0 to preserve the calendar timeline.</w:t>
      </w:r>
    </w:p>
    <w:p>
      <w:pPr>
        <w:pStyle w:val="ListNumber"/>
      </w:pPr>
      <w:r>
        <w:t>3. Cohort size grows over time. The 1925-1935 cohort has only 508 stocks (CRSP started with NYSE-only coverage); by 1995-2005 the cohort is 7,835 stocks (NYSE + AMEX + NASDAQ). Later-decade statistics are tighter.</w:t>
      </w:r>
    </w:p>
    <w:p>
      <w:pPr>
        <w:pStyle w:val="ListNumber"/>
      </w:pPr>
      <w:r>
        <w:t>4. Windows extending beyond 2025-12 are not analyzed. The 30-year track stops at the 1985-2015 window; a 2015-2025 entry in the 30-year table would be a partial 10-year window and is excluded.</w:t>
      </w:r>
    </w:p>
    <w:p>
      <w:pPr>
        <w:pStyle w:val="Heading1"/>
      </w:pPr>
      <w:r>
        <w:rPr>
          <w:color w:val="1A365D"/>
        </w:rPr>
        <w:t>8. Files produced</w:t>
      </w:r>
    </w:p>
    <w:p>
      <w:r>
        <w:rPr>
          <w:rFonts w:ascii="Consolas" w:hAnsi="Consolas"/>
          <w:sz w:val="17"/>
        </w:rPr>
        <w:t>results/</w:t>
        <w:br/>
        <w:t xml:space="preserve">  report.md, report.docx</w:t>
        <w:br/>
        <w:t xml:space="preserve">  summary_10y.csv, summary_30y.csv, summary_fulllife.csv</w:t>
        <w:br/>
        <w:t xml:space="preserve">  returns_10y.csv, returns_30y.csv              — long-format per-stock returns per window</w:t>
        <w:br/>
        <w:t xml:space="preserve">  permno_fulllife.csv                           — per-stock full-life return</w:t>
        <w:br/>
        <w:t xml:space="preserve">  market_benchmark.csv, market_summary.csv</w:t>
        <w:br/>
        <w:t xml:space="preserve">  variation_10y.png, variation_30y.png          — box+violin across windows</w:t>
        <w:br/>
        <w:t xml:space="preserve">  pct_positive_10y.png, pct_positive_30y.png    — bar chart + market line</w:t>
        <w:br/>
        <w:t xml:space="preserve">  hist_10y_{window}_{basis}.png                 — per-window histograms (20 files)</w:t>
        <w:br/>
        <w:t xml:space="preserve">  hist_30y_{window}_{basis}.png                 — per-window histograms (6 files)</w:t>
        <w:br/>
        <w:t xml:space="preserve">  hist_fulllife_{basis}.png                     — Q3 histograms</w:t>
      </w:r>
    </w:p>
    <w:p>
      <w:pPr>
        <w:pStyle w:val="Heading1"/>
      </w:pPr>
      <w:r>
        <w:rPr>
          <w:color w:val="1A365D"/>
        </w:rPr>
        <w:t>9. Reproducibility</w:t>
      </w:r>
    </w:p>
    <w:p>
      <w:r>
        <w:rPr>
          <w:rFonts w:ascii="Consolas" w:hAnsi="Consolas"/>
          <w:sz w:val="20"/>
        </w:rPr>
        <w:t>python program/run_analysis.py    # ~50 s</w:t>
        <w:br/>
        <w:t>python program/build_docx.py      # ~3 s</w:t>
      </w:r>
    </w:p>
    <w:p>
      <w:r>
        <w:t>Python 3.11, pandas 2.3, numpy 2.2, matplotlib 3.10, python-docx 1.2.</w:t>
      </w:r>
    </w:p>
    <w:p>
      <w:pPr>
        <w:pStyle w:val="Heading1"/>
      </w:pPr>
      <w:r>
        <w:rPr>
          <w:color w:val="1A365D"/>
        </w:rPr>
        <w:t>10. References</w:t>
      </w:r>
    </w:p>
    <w:p>
      <w:pPr>
        <w:pStyle w:val="ListBullet"/>
      </w:pPr>
      <w:r>
        <w:t>Bessembinder, H. (2018). "Do stocks outperform Treasury bills?" Journal of Financial Economics, 129(3), 440-457.</w:t>
      </w:r>
    </w:p>
    <w:p>
      <w:pPr>
        <w:pStyle w:val="ListBullet"/>
      </w:pPr>
      <w:r>
        <w:t>Shumway, T. (1997). "The delisting bias in CRSP data." Journal of Finance, 52(1), 327-340.</w:t>
      </w:r>
    </w:p>
    <w:p>
      <w:pPr>
        <w:pStyle w:val="ListBullet"/>
      </w:pPr>
      <w:r>
        <w:t>CRSP. Monthly Stock File, schema documentation in data/Monthly Stock File.pdf.</w:t>
      </w:r>
    </w:p>
    <w:p>
      <w:pPr>
        <w:pStyle w:val="ListBullet"/>
      </w:pPr>
      <w:r>
        <w:t>U.S. Bureau of Labor Statistics. Consumer Price Index for All Urban Consumers, CPI-U, not seasonally adjusted, monthly 1925-2025.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