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65D"/>
          <w:sz w:val="34"/>
        </w:rPr>
        <w:t>Long-run return distributions of US-listed stocks</w:t>
      </w:r>
    </w:p>
    <w:p>
      <w:pPr>
        <w:jc w:val="center"/>
      </w:pPr>
      <w:r>
        <w:rPr>
          <w:i/>
          <w:sz w:val="22"/>
        </w:rPr>
        <w:t>CRSP monthly, 31,565 common-stock PERMNOs, 192512-202512</w:t>
      </w:r>
    </w:p>
    <w:p>
      <w:pPr>
        <w:pStyle w:val="Heading1"/>
      </w:pPr>
      <w:r>
        <w:rPr>
          <w:color w:val="1A365D"/>
        </w:rPr>
        <w:t>TL;DR</w:t>
      </w:r>
    </w:p>
    <w:p>
      <w:pPr>
        <w:pStyle w:val="ListBullet"/>
      </w:pPr>
      <w:r>
        <w:t>10-year stock-anchored holding periods: 57.3 % positive nominal and 49.9 % positive real.</w:t>
      </w:r>
    </w:p>
    <w:p>
      <w:pPr>
        <w:pStyle w:val="ListBullet"/>
      </w:pPr>
      <w:r>
        <w:t>30-year stock-anchored holding periods: 51.0 % positive nominal, with many observations ending early because the stock delisted.</w:t>
      </w:r>
    </w:p>
    <w:p>
      <w:pPr>
        <w:pStyle w:val="ListBullet"/>
      </w:pPr>
      <w:r>
        <w:t>Full-life per stock: 48.1 % positive nominal and 41.3 % positive real.</w:t>
      </w:r>
    </w:p>
    <w:p>
      <w:pPr>
        <w:pStyle w:val="Heading1"/>
      </w:pPr>
      <w:r>
        <w:rPr>
          <w:color w:val="1A365D"/>
        </w:rPr>
        <w:t>1. Data And Universe</w:t>
      </w:r>
    </w:p>
    <w:p>
      <w:r>
        <w:t>The analysis uses 31,565 US-listed common-stock PERMNOs and 4,405,424 monthly stock observations after duplicate removal.</w:t>
      </w:r>
    </w:p>
    <w:p>
      <w:r>
        <w:t>The universe excludes REITs, ETFs, closed-end funds, and other non-common-stock securities.</w:t>
      </w:r>
    </w:p>
    <w:p>
      <w:r>
        <w:t>CPI-U inflation factor from 192501 to 202512: 18.73x (2.94 % annualized).</w:t>
      </w:r>
    </w:p>
    <w:p>
      <w:pPr>
        <w:pStyle w:val="Heading1"/>
      </w:pPr>
      <w:r>
        <w:rPr>
          <w:color w:val="1A365D"/>
        </w:rPr>
        <w:t>2. Methodology</w:t>
      </w:r>
    </w:p>
    <w:p>
      <w:r>
        <w:t>The 10-year and 30-year analyses use stock-anchored, non-overlapping holding periods starting from each stock's first observed CRSP month. A stock that delists before the planned horizon is retained through its last observed month. Active periods that are cut off only because the sample ends are written to the audit file but excluded from headline summaries.</w:t>
      </w:r>
    </w:p>
    <w:p>
      <w:r>
        <w:t>The report focuses on the distribution of individual stock outcomes.</w:t>
      </w:r>
    </w:p>
    <w:p>
      <w:pPr>
        <w:pStyle w:val="Heading1"/>
      </w:pPr>
      <w:r>
        <w:rPr>
          <w:color w:val="1A365D"/>
        </w:rPr>
        <w:t>3. Holding-Period Results</w:t>
      </w:r>
    </w:p>
    <w:p>
      <w:pPr>
        <w:pStyle w:val="Heading2"/>
      </w:pPr>
      <w:r>
        <w:rPr>
          <w:color w:val="1A365D"/>
        </w:rPr>
        <w:t>10-Year Periods</w:t>
      </w:r>
    </w:p>
    <w:tbl>
      <w:tblPr>
        <w:tblStyle w:val="LightGrid-Accent1"/>
        <w:tblW w:type="auto" w:w="0"/>
        <w:tblLayout w:type="autofit"/>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shd w:val="clear" w:color="auto" w:fill="E2E8F0"/>
          </w:tcPr>
          <w:p>
            <w:pPr>
              <w:jc w:val="center"/>
            </w:pPr>
            <w:r/>
            <w:r>
              <w:rPr>
                <w:b/>
                <w:sz w:val="18"/>
              </w:rPr>
              <w:t>Basis</w:t>
            </w:r>
          </w:p>
        </w:tc>
        <w:tc>
          <w:tcPr>
            <w:tcW w:type="dxa" w:w="1088"/>
            <w:shd w:val="clear" w:color="auto" w:fill="E2E8F0"/>
          </w:tcPr>
          <w:p>
            <w:pPr>
              <w:jc w:val="center"/>
            </w:pPr>
            <w:r/>
            <w:r>
              <w:rPr>
                <w:b/>
                <w:sz w:val="18"/>
              </w:rPr>
              <w:t>Periods</w:t>
            </w:r>
          </w:p>
        </w:tc>
        <w:tc>
          <w:tcPr>
            <w:tcW w:type="dxa" w:w="1088"/>
            <w:shd w:val="clear" w:color="auto" w:fill="E2E8F0"/>
          </w:tcPr>
          <w:p>
            <w:pPr>
              <w:jc w:val="center"/>
            </w:pPr>
            <w:r/>
            <w:r>
              <w:rPr>
                <w:b/>
                <w:sz w:val="18"/>
              </w:rPr>
              <w:t>PERMNOs</w:t>
            </w:r>
          </w:p>
        </w:tc>
        <w:tc>
          <w:tcPr>
            <w:tcW w:type="dxa" w:w="1088"/>
            <w:shd w:val="clear" w:color="auto" w:fill="E2E8F0"/>
          </w:tcPr>
          <w:p>
            <w:pPr>
              <w:jc w:val="center"/>
            </w:pPr>
            <w:r/>
            <w:r>
              <w:rPr>
                <w:b/>
                <w:sz w:val="18"/>
              </w:rPr>
              <w:t>% positive</w:t>
            </w:r>
          </w:p>
        </w:tc>
        <w:tc>
          <w:tcPr>
            <w:tcW w:type="dxa" w:w="1088"/>
            <w:shd w:val="clear" w:color="auto" w:fill="E2E8F0"/>
          </w:tcPr>
          <w:p>
            <w:pPr>
              <w:jc w:val="center"/>
            </w:pPr>
            <w:r/>
            <w:r>
              <w:rPr>
                <w:b/>
                <w:sz w:val="18"/>
              </w:rPr>
              <w:t>Median</w:t>
            </w:r>
          </w:p>
        </w:tc>
        <w:tc>
          <w:tcPr>
            <w:tcW w:type="dxa" w:w="1088"/>
            <w:shd w:val="clear" w:color="auto" w:fill="E2E8F0"/>
          </w:tcPr>
          <w:p>
            <w:pPr>
              <w:jc w:val="center"/>
            </w:pPr>
            <w:r/>
            <w:r>
              <w:rPr>
                <w:b/>
                <w:sz w:val="18"/>
              </w:rPr>
              <w:t>Mean multiple</w:t>
            </w:r>
          </w:p>
        </w:tc>
        <w:tc>
          <w:tcPr>
            <w:tcW w:type="dxa" w:w="1088"/>
            <w:shd w:val="clear" w:color="auto" w:fill="E2E8F0"/>
          </w:tcPr>
          <w:p>
            <w:pPr>
              <w:jc w:val="center"/>
            </w:pPr>
            <w:r/>
            <w:r>
              <w:rPr>
                <w:b/>
                <w:sz w:val="18"/>
              </w:rPr>
              <w:t>% complete</w:t>
            </w:r>
          </w:p>
        </w:tc>
        <w:tc>
          <w:tcPr>
            <w:tcW w:type="dxa" w:w="1088"/>
            <w:shd w:val="clear" w:color="auto" w:fill="E2E8F0"/>
          </w:tcPr>
          <w:p>
            <w:pPr>
              <w:jc w:val="center"/>
            </w:pPr>
            <w:r/>
            <w:r>
              <w:rPr>
                <w:b/>
                <w:sz w:val="18"/>
              </w:rPr>
              <w:t>% delisted</w:t>
            </w:r>
          </w:p>
        </w:tc>
        <w:tc>
          <w:tcPr>
            <w:tcW w:type="dxa" w:w="1088"/>
            <w:shd w:val="clear" w:color="auto" w:fill="E2E8F0"/>
          </w:tcPr>
          <w:p>
            <w:pPr>
              <w:jc w:val="center"/>
            </w:pPr>
            <w:r/>
            <w:r>
              <w:rPr>
                <w:b/>
                <w:sz w:val="18"/>
              </w:rPr>
              <w:t>Avg months</w:t>
            </w:r>
          </w:p>
        </w:tc>
      </w:tr>
      <w:tr>
        <w:tc>
          <w:tcPr>
            <w:tcW w:type="dxa" w:w="1088"/>
          </w:tcPr>
          <w:p>
            <w:pPr>
              <w:jc w:val="left"/>
            </w:pPr>
            <w:r/>
            <w:r>
              <w:rPr>
                <w:sz w:val="18"/>
              </w:rPr>
              <w:t>nominal</w:t>
            </w:r>
          </w:p>
        </w:tc>
        <w:tc>
          <w:tcPr>
            <w:tcW w:type="dxa" w:w="1088"/>
          </w:tcPr>
          <w:p>
            <w:pPr>
              <w:jc w:val="right"/>
            </w:pPr>
            <w:r/>
            <w:r>
              <w:rPr>
                <w:sz w:val="18"/>
              </w:rPr>
              <w:t>49,454</w:t>
            </w:r>
          </w:p>
        </w:tc>
        <w:tc>
          <w:tcPr>
            <w:tcW w:type="dxa" w:w="1088"/>
          </w:tcPr>
          <w:p>
            <w:pPr>
              <w:jc w:val="right"/>
            </w:pPr>
            <w:r/>
            <w:r>
              <w:rPr>
                <w:sz w:val="18"/>
              </w:rPr>
              <w:t>28,950</w:t>
            </w:r>
          </w:p>
        </w:tc>
        <w:tc>
          <w:tcPr>
            <w:tcW w:type="dxa" w:w="1088"/>
          </w:tcPr>
          <w:p>
            <w:pPr>
              <w:jc w:val="right"/>
            </w:pPr>
            <w:r/>
            <w:r>
              <w:rPr>
                <w:sz w:val="18"/>
              </w:rPr>
              <w:t>57.3 %</w:t>
            </w:r>
          </w:p>
        </w:tc>
        <w:tc>
          <w:tcPr>
            <w:tcW w:type="dxa" w:w="1088"/>
          </w:tcPr>
          <w:p>
            <w:pPr>
              <w:jc w:val="right"/>
            </w:pPr>
            <w:r/>
            <w:r>
              <w:rPr>
                <w:sz w:val="18"/>
              </w:rPr>
              <w:t>+23.7 %</w:t>
            </w:r>
          </w:p>
        </w:tc>
        <w:tc>
          <w:tcPr>
            <w:tcW w:type="dxa" w:w="1088"/>
          </w:tcPr>
          <w:p>
            <w:pPr>
              <w:jc w:val="right"/>
            </w:pPr>
            <w:r/>
            <w:r>
              <w:rPr>
                <w:sz w:val="18"/>
              </w:rPr>
              <w:t>2.29x</w:t>
            </w:r>
          </w:p>
        </w:tc>
        <w:tc>
          <w:tcPr>
            <w:tcW w:type="dxa" w:w="1088"/>
          </w:tcPr>
          <w:p>
            <w:pPr>
              <w:jc w:val="right"/>
            </w:pPr>
            <w:r/>
            <w:r>
              <w:rPr>
                <w:sz w:val="18"/>
              </w:rPr>
              <w:t>47.1 %</w:t>
            </w:r>
          </w:p>
        </w:tc>
        <w:tc>
          <w:tcPr>
            <w:tcW w:type="dxa" w:w="1088"/>
          </w:tcPr>
          <w:p>
            <w:pPr>
              <w:jc w:val="right"/>
            </w:pPr>
            <w:r/>
            <w:r>
              <w:rPr>
                <w:sz w:val="18"/>
              </w:rPr>
              <w:t>52.9 %</w:t>
            </w:r>
          </w:p>
        </w:tc>
        <w:tc>
          <w:tcPr>
            <w:tcW w:type="dxa" w:w="1088"/>
          </w:tcPr>
          <w:p>
            <w:pPr>
              <w:jc w:val="right"/>
            </w:pPr>
            <w:r/>
            <w:r>
              <w:rPr>
                <w:sz w:val="18"/>
              </w:rPr>
              <w:t>83.7</w:t>
            </w:r>
          </w:p>
        </w:tc>
      </w:tr>
      <w:tr>
        <w:tc>
          <w:tcPr>
            <w:tcW w:type="dxa" w:w="1088"/>
          </w:tcPr>
          <w:p>
            <w:pPr>
              <w:jc w:val="left"/>
            </w:pPr>
            <w:r/>
            <w:r>
              <w:rPr>
                <w:sz w:val="18"/>
              </w:rPr>
              <w:t>real (CPI-adj)</w:t>
            </w:r>
          </w:p>
        </w:tc>
        <w:tc>
          <w:tcPr>
            <w:tcW w:type="dxa" w:w="1088"/>
          </w:tcPr>
          <w:p>
            <w:pPr>
              <w:jc w:val="right"/>
            </w:pPr>
            <w:r/>
            <w:r>
              <w:rPr>
                <w:sz w:val="18"/>
              </w:rPr>
              <w:t>49,454</w:t>
            </w:r>
          </w:p>
        </w:tc>
        <w:tc>
          <w:tcPr>
            <w:tcW w:type="dxa" w:w="1088"/>
          </w:tcPr>
          <w:p>
            <w:pPr>
              <w:jc w:val="right"/>
            </w:pPr>
            <w:r/>
            <w:r>
              <w:rPr>
                <w:sz w:val="18"/>
              </w:rPr>
              <w:t>28,950</w:t>
            </w:r>
          </w:p>
        </w:tc>
        <w:tc>
          <w:tcPr>
            <w:tcW w:type="dxa" w:w="1088"/>
          </w:tcPr>
          <w:p>
            <w:pPr>
              <w:jc w:val="right"/>
            </w:pPr>
            <w:r/>
            <w:r>
              <w:rPr>
                <w:sz w:val="18"/>
              </w:rPr>
              <w:t>49.9 %</w:t>
            </w:r>
          </w:p>
        </w:tc>
        <w:tc>
          <w:tcPr>
            <w:tcW w:type="dxa" w:w="1088"/>
          </w:tcPr>
          <w:p>
            <w:pPr>
              <w:jc w:val="right"/>
            </w:pPr>
            <w:r/>
            <w:r>
              <w:rPr>
                <w:sz w:val="18"/>
              </w:rPr>
              <w:t>-0.2 %</w:t>
            </w:r>
          </w:p>
        </w:tc>
        <w:tc>
          <w:tcPr>
            <w:tcW w:type="dxa" w:w="1088"/>
          </w:tcPr>
          <w:p>
            <w:pPr>
              <w:jc w:val="right"/>
            </w:pPr>
            <w:r/>
            <w:r>
              <w:rPr>
                <w:sz w:val="18"/>
              </w:rPr>
              <w:t>1.71x</w:t>
            </w:r>
          </w:p>
        </w:tc>
        <w:tc>
          <w:tcPr>
            <w:tcW w:type="dxa" w:w="1088"/>
          </w:tcPr>
          <w:p>
            <w:pPr>
              <w:jc w:val="right"/>
            </w:pPr>
            <w:r/>
            <w:r>
              <w:rPr>
                <w:sz w:val="18"/>
              </w:rPr>
              <w:t>47.1 %</w:t>
            </w:r>
          </w:p>
        </w:tc>
        <w:tc>
          <w:tcPr>
            <w:tcW w:type="dxa" w:w="1088"/>
          </w:tcPr>
          <w:p>
            <w:pPr>
              <w:jc w:val="right"/>
            </w:pPr>
            <w:r/>
            <w:r>
              <w:rPr>
                <w:sz w:val="18"/>
              </w:rPr>
              <w:t>52.9 %</w:t>
            </w:r>
          </w:p>
        </w:tc>
        <w:tc>
          <w:tcPr>
            <w:tcW w:type="dxa" w:w="1088"/>
          </w:tcPr>
          <w:p>
            <w:pPr>
              <w:jc w:val="right"/>
            </w:pPr>
            <w:r/>
            <w:r>
              <w:rPr>
                <w:sz w:val="18"/>
              </w:rPr>
              <w:t>83.7</w:t>
            </w:r>
          </w:p>
        </w:tc>
      </w:tr>
    </w:tbl>
    <w:p>
      <w:pPr>
        <w:jc w:val="center"/>
      </w:pPr>
      <w:r>
        <w:drawing>
          <wp:inline xmlns:a="http://schemas.openxmlformats.org/drawingml/2006/main" xmlns:pic="http://schemas.openxmlformats.org/drawingml/2006/picture">
            <wp:extent cx="6217920" cy="1787652"/>
            <wp:docPr id="1" name="Picture 1"/>
            <wp:cNvGraphicFramePr>
              <a:graphicFrameLocks noChangeAspect="1"/>
            </wp:cNvGraphicFramePr>
            <a:graphic>
              <a:graphicData uri="http://schemas.openxmlformats.org/drawingml/2006/picture">
                <pic:pic>
                  <pic:nvPicPr>
                    <pic:cNvPr id="0" name="hist_10y_nominal.png"/>
                    <pic:cNvPicPr/>
                  </pic:nvPicPr>
                  <pic:blipFill>
                    <a:blip r:embed="rId9"/>
                    <a:stretch>
                      <a:fillRect/>
                    </a:stretch>
                  </pic:blipFill>
                  <pic:spPr>
                    <a:xfrm>
                      <a:off x="0" y="0"/>
                      <a:ext cx="6217920" cy="1787652"/>
                    </a:xfrm>
                    <a:prstGeom prst="rect"/>
                  </pic:spPr>
                </pic:pic>
              </a:graphicData>
            </a:graphic>
          </wp:inline>
        </w:drawing>
      </w:r>
    </w:p>
    <w:p>
      <w:pPr>
        <w:jc w:val="center"/>
      </w:pPr>
      <w:r>
        <w:drawing>
          <wp:inline xmlns:a="http://schemas.openxmlformats.org/drawingml/2006/main" xmlns:pic="http://schemas.openxmlformats.org/drawingml/2006/picture">
            <wp:extent cx="6217920" cy="1787652"/>
            <wp:docPr id="2" name="Picture 2"/>
            <wp:cNvGraphicFramePr>
              <a:graphicFrameLocks noChangeAspect="1"/>
            </wp:cNvGraphicFramePr>
            <a:graphic>
              <a:graphicData uri="http://schemas.openxmlformats.org/drawingml/2006/picture">
                <pic:pic>
                  <pic:nvPicPr>
                    <pic:cNvPr id="0" name="hist_10y_real.png"/>
                    <pic:cNvPicPr/>
                  </pic:nvPicPr>
                  <pic:blipFill>
                    <a:blip r:embed="rId10"/>
                    <a:stretch>
                      <a:fillRect/>
                    </a:stretch>
                  </pic:blipFill>
                  <pic:spPr>
                    <a:xfrm>
                      <a:off x="0" y="0"/>
                      <a:ext cx="6217920" cy="1787652"/>
                    </a:xfrm>
                    <a:prstGeom prst="rect"/>
                  </pic:spPr>
                </pic:pic>
              </a:graphicData>
            </a:graphic>
          </wp:inline>
        </w:drawing>
      </w:r>
    </w:p>
    <w:p>
      <w:pPr>
        <w:pStyle w:val="Heading2"/>
      </w:pPr>
      <w:r>
        <w:rPr>
          <w:color w:val="1A365D"/>
        </w:rPr>
        <w:t>10-Year Percentiles</w:t>
      </w:r>
    </w:p>
    <w:tbl>
      <w:tblPr>
        <w:tblStyle w:val="LightGrid-Accent1"/>
        <w:tblW w:type="auto" w:w="0"/>
        <w:tblLayout w:type="autofit"/>
        <w:tblLook w:firstColumn="1" w:firstRow="1" w:lastColumn="0" w:lastRow="0" w:noHBand="0" w:noVBand="1" w:val="04A0"/>
      </w:tblPr>
      <w:tblGrid>
        <w:gridCol w:w="1632"/>
        <w:gridCol w:w="1632"/>
        <w:gridCol w:w="1632"/>
        <w:gridCol w:w="1632"/>
        <w:gridCol w:w="1632"/>
        <w:gridCol w:w="1632"/>
      </w:tblGrid>
      <w:tr>
        <w:tc>
          <w:tcPr>
            <w:tcW w:type="dxa" w:w="1632"/>
            <w:shd w:val="clear" w:color="auto" w:fill="E2E8F0"/>
          </w:tcPr>
          <w:p>
            <w:pPr>
              <w:jc w:val="center"/>
            </w:pPr>
            <w:r/>
            <w:r>
              <w:rPr>
                <w:b/>
                <w:sz w:val="18"/>
              </w:rPr>
              <w:t>Basis</w:t>
            </w:r>
          </w:p>
        </w:tc>
        <w:tc>
          <w:tcPr>
            <w:tcW w:type="dxa" w:w="1632"/>
            <w:shd w:val="clear" w:color="auto" w:fill="E2E8F0"/>
          </w:tcPr>
          <w:p>
            <w:pPr>
              <w:jc w:val="center"/>
            </w:pPr>
            <w:r/>
            <w:r>
              <w:rPr>
                <w:b/>
                <w:sz w:val="18"/>
              </w:rPr>
              <w:t>p5</w:t>
            </w:r>
          </w:p>
        </w:tc>
        <w:tc>
          <w:tcPr>
            <w:tcW w:type="dxa" w:w="1632"/>
            <w:shd w:val="clear" w:color="auto" w:fill="E2E8F0"/>
          </w:tcPr>
          <w:p>
            <w:pPr>
              <w:jc w:val="center"/>
            </w:pPr>
            <w:r/>
            <w:r>
              <w:rPr>
                <w:b/>
                <w:sz w:val="18"/>
              </w:rPr>
              <w:t>p25</w:t>
            </w:r>
          </w:p>
        </w:tc>
        <w:tc>
          <w:tcPr>
            <w:tcW w:type="dxa" w:w="1632"/>
            <w:shd w:val="clear" w:color="auto" w:fill="E2E8F0"/>
          </w:tcPr>
          <w:p>
            <w:pPr>
              <w:jc w:val="center"/>
            </w:pPr>
            <w:r/>
            <w:r>
              <w:rPr>
                <w:b/>
                <w:sz w:val="18"/>
              </w:rPr>
              <w:t>Median</w:t>
            </w:r>
          </w:p>
        </w:tc>
        <w:tc>
          <w:tcPr>
            <w:tcW w:type="dxa" w:w="1632"/>
            <w:shd w:val="clear" w:color="auto" w:fill="E2E8F0"/>
          </w:tcPr>
          <w:p>
            <w:pPr>
              <w:jc w:val="center"/>
            </w:pPr>
            <w:r/>
            <w:r>
              <w:rPr>
                <w:b/>
                <w:sz w:val="18"/>
              </w:rPr>
              <w:t>p75</w:t>
            </w:r>
          </w:p>
        </w:tc>
        <w:tc>
          <w:tcPr>
            <w:tcW w:type="dxa" w:w="1632"/>
            <w:shd w:val="clear" w:color="auto" w:fill="E2E8F0"/>
          </w:tcPr>
          <w:p>
            <w:pPr>
              <w:jc w:val="center"/>
            </w:pPr>
            <w:r/>
            <w:r>
              <w:rPr>
                <w:b/>
                <w:sz w:val="18"/>
              </w:rPr>
              <w:t>p95</w:t>
            </w:r>
          </w:p>
        </w:tc>
      </w:tr>
      <w:tr>
        <w:tc>
          <w:tcPr>
            <w:tcW w:type="dxa" w:w="1632"/>
          </w:tcPr>
          <w:p>
            <w:pPr>
              <w:jc w:val="left"/>
            </w:pPr>
            <w:r/>
            <w:r>
              <w:rPr>
                <w:sz w:val="18"/>
              </w:rPr>
              <w:t>nominal</w:t>
            </w:r>
          </w:p>
        </w:tc>
        <w:tc>
          <w:tcPr>
            <w:tcW w:type="dxa" w:w="1632"/>
          </w:tcPr>
          <w:p>
            <w:pPr>
              <w:jc w:val="right"/>
            </w:pPr>
            <w:r/>
            <w:r>
              <w:rPr>
                <w:sz w:val="18"/>
              </w:rPr>
              <w:t>-97.5 %</w:t>
            </w:r>
          </w:p>
        </w:tc>
        <w:tc>
          <w:tcPr>
            <w:tcW w:type="dxa" w:w="1632"/>
          </w:tcPr>
          <w:p>
            <w:pPr>
              <w:jc w:val="right"/>
            </w:pPr>
            <w:r/>
            <w:r>
              <w:rPr>
                <w:sz w:val="18"/>
              </w:rPr>
              <w:t>-63.5 %</w:t>
            </w:r>
          </w:p>
        </w:tc>
        <w:tc>
          <w:tcPr>
            <w:tcW w:type="dxa" w:w="1632"/>
          </w:tcPr>
          <w:p>
            <w:pPr>
              <w:jc w:val="right"/>
            </w:pPr>
            <w:r/>
            <w:r>
              <w:rPr>
                <w:sz w:val="18"/>
              </w:rPr>
              <w:t>+23.7 %</w:t>
            </w:r>
          </w:p>
        </w:tc>
        <w:tc>
          <w:tcPr>
            <w:tcW w:type="dxa" w:w="1632"/>
          </w:tcPr>
          <w:p>
            <w:pPr>
              <w:jc w:val="right"/>
            </w:pPr>
            <w:r/>
            <w:r>
              <w:rPr>
                <w:sz w:val="18"/>
              </w:rPr>
              <w:t>+163.9 %</w:t>
            </w:r>
          </w:p>
        </w:tc>
        <w:tc>
          <w:tcPr>
            <w:tcW w:type="dxa" w:w="1632"/>
          </w:tcPr>
          <w:p>
            <w:pPr>
              <w:jc w:val="right"/>
            </w:pPr>
            <w:r/>
            <w:r>
              <w:rPr>
                <w:sz w:val="18"/>
              </w:rPr>
              <w:t>+646.2 %</w:t>
            </w:r>
          </w:p>
        </w:tc>
      </w:tr>
      <w:tr>
        <w:tc>
          <w:tcPr>
            <w:tcW w:type="dxa" w:w="1632"/>
          </w:tcPr>
          <w:p>
            <w:pPr>
              <w:jc w:val="left"/>
            </w:pPr>
            <w:r/>
            <w:r>
              <w:rPr>
                <w:sz w:val="18"/>
              </w:rPr>
              <w:t>real (CPI-adj)</w:t>
            </w:r>
          </w:p>
        </w:tc>
        <w:tc>
          <w:tcPr>
            <w:tcW w:type="dxa" w:w="1632"/>
          </w:tcPr>
          <w:p>
            <w:pPr>
              <w:jc w:val="right"/>
            </w:pPr>
            <w:r/>
            <w:r>
              <w:rPr>
                <w:sz w:val="18"/>
              </w:rPr>
              <w:t>-98.0 %</w:t>
            </w:r>
          </w:p>
        </w:tc>
        <w:tc>
          <w:tcPr>
            <w:tcW w:type="dxa" w:w="1632"/>
          </w:tcPr>
          <w:p>
            <w:pPr>
              <w:jc w:val="right"/>
            </w:pPr>
            <w:r/>
            <w:r>
              <w:rPr>
                <w:sz w:val="18"/>
              </w:rPr>
              <w:t>-71.3 %</w:t>
            </w:r>
          </w:p>
        </w:tc>
        <w:tc>
          <w:tcPr>
            <w:tcW w:type="dxa" w:w="1632"/>
          </w:tcPr>
          <w:p>
            <w:pPr>
              <w:jc w:val="right"/>
            </w:pPr>
            <w:r/>
            <w:r>
              <w:rPr>
                <w:sz w:val="18"/>
              </w:rPr>
              <w:t>-0.2 %</w:t>
            </w:r>
          </w:p>
        </w:tc>
        <w:tc>
          <w:tcPr>
            <w:tcW w:type="dxa" w:w="1632"/>
          </w:tcPr>
          <w:p>
            <w:pPr>
              <w:jc w:val="right"/>
            </w:pPr>
            <w:r/>
            <w:r>
              <w:rPr>
                <w:sz w:val="18"/>
              </w:rPr>
              <w:t>+102.1 %</w:t>
            </w:r>
          </w:p>
        </w:tc>
        <w:tc>
          <w:tcPr>
            <w:tcW w:type="dxa" w:w="1632"/>
          </w:tcPr>
          <w:p>
            <w:pPr>
              <w:jc w:val="right"/>
            </w:pPr>
            <w:r/>
            <w:r>
              <w:rPr>
                <w:sz w:val="18"/>
              </w:rPr>
              <w:t>+439.2 %</w:t>
            </w:r>
          </w:p>
        </w:tc>
      </w:tr>
    </w:tbl>
    <w:p>
      <w:pPr>
        <w:pStyle w:val="Heading2"/>
      </w:pPr>
      <w:r>
        <w:rPr>
          <w:color w:val="1A365D"/>
        </w:rPr>
        <w:t>30-Year Periods</w:t>
      </w:r>
    </w:p>
    <w:tbl>
      <w:tblPr>
        <w:tblStyle w:val="LightGrid-Accent1"/>
        <w:tblW w:type="auto" w:w="0"/>
        <w:tblLayout w:type="autofit"/>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shd w:val="clear" w:color="auto" w:fill="E2E8F0"/>
          </w:tcPr>
          <w:p>
            <w:pPr>
              <w:jc w:val="center"/>
            </w:pPr>
            <w:r/>
            <w:r>
              <w:rPr>
                <w:b/>
                <w:sz w:val="18"/>
              </w:rPr>
              <w:t>Basis</w:t>
            </w:r>
          </w:p>
        </w:tc>
        <w:tc>
          <w:tcPr>
            <w:tcW w:type="dxa" w:w="1088"/>
            <w:shd w:val="clear" w:color="auto" w:fill="E2E8F0"/>
          </w:tcPr>
          <w:p>
            <w:pPr>
              <w:jc w:val="center"/>
            </w:pPr>
            <w:r/>
            <w:r>
              <w:rPr>
                <w:b/>
                <w:sz w:val="18"/>
              </w:rPr>
              <w:t>Periods</w:t>
            </w:r>
          </w:p>
        </w:tc>
        <w:tc>
          <w:tcPr>
            <w:tcW w:type="dxa" w:w="1088"/>
            <w:shd w:val="clear" w:color="auto" w:fill="E2E8F0"/>
          </w:tcPr>
          <w:p>
            <w:pPr>
              <w:jc w:val="center"/>
            </w:pPr>
            <w:r/>
            <w:r>
              <w:rPr>
                <w:b/>
                <w:sz w:val="18"/>
              </w:rPr>
              <w:t>PERMNOs</w:t>
            </w:r>
          </w:p>
        </w:tc>
        <w:tc>
          <w:tcPr>
            <w:tcW w:type="dxa" w:w="1088"/>
            <w:shd w:val="clear" w:color="auto" w:fill="E2E8F0"/>
          </w:tcPr>
          <w:p>
            <w:pPr>
              <w:jc w:val="center"/>
            </w:pPr>
            <w:r/>
            <w:r>
              <w:rPr>
                <w:b/>
                <w:sz w:val="18"/>
              </w:rPr>
              <w:t>% positive</w:t>
            </w:r>
          </w:p>
        </w:tc>
        <w:tc>
          <w:tcPr>
            <w:tcW w:type="dxa" w:w="1088"/>
            <w:shd w:val="clear" w:color="auto" w:fill="E2E8F0"/>
          </w:tcPr>
          <w:p>
            <w:pPr>
              <w:jc w:val="center"/>
            </w:pPr>
            <w:r/>
            <w:r>
              <w:rPr>
                <w:b/>
                <w:sz w:val="18"/>
              </w:rPr>
              <w:t>Median</w:t>
            </w:r>
          </w:p>
        </w:tc>
        <w:tc>
          <w:tcPr>
            <w:tcW w:type="dxa" w:w="1088"/>
            <w:shd w:val="clear" w:color="auto" w:fill="E2E8F0"/>
          </w:tcPr>
          <w:p>
            <w:pPr>
              <w:jc w:val="center"/>
            </w:pPr>
            <w:r/>
            <w:r>
              <w:rPr>
                <w:b/>
                <w:sz w:val="18"/>
              </w:rPr>
              <w:t>Mean multiple</w:t>
            </w:r>
          </w:p>
        </w:tc>
        <w:tc>
          <w:tcPr>
            <w:tcW w:type="dxa" w:w="1088"/>
            <w:shd w:val="clear" w:color="auto" w:fill="E2E8F0"/>
          </w:tcPr>
          <w:p>
            <w:pPr>
              <w:jc w:val="center"/>
            </w:pPr>
            <w:r/>
            <w:r>
              <w:rPr>
                <w:b/>
                <w:sz w:val="18"/>
              </w:rPr>
              <w:t>% complete</w:t>
            </w:r>
          </w:p>
        </w:tc>
        <w:tc>
          <w:tcPr>
            <w:tcW w:type="dxa" w:w="1088"/>
            <w:shd w:val="clear" w:color="auto" w:fill="E2E8F0"/>
          </w:tcPr>
          <w:p>
            <w:pPr>
              <w:jc w:val="center"/>
            </w:pPr>
            <w:r/>
            <w:r>
              <w:rPr>
                <w:b/>
                <w:sz w:val="18"/>
              </w:rPr>
              <w:t>% delisted</w:t>
            </w:r>
          </w:p>
        </w:tc>
        <w:tc>
          <w:tcPr>
            <w:tcW w:type="dxa" w:w="1088"/>
            <w:shd w:val="clear" w:color="auto" w:fill="E2E8F0"/>
          </w:tcPr>
          <w:p>
            <w:pPr>
              <w:jc w:val="center"/>
            </w:pPr>
            <w:r/>
            <w:r>
              <w:rPr>
                <w:b/>
                <w:sz w:val="18"/>
              </w:rPr>
              <w:t>Avg months</w:t>
            </w:r>
          </w:p>
        </w:tc>
      </w:tr>
      <w:tr>
        <w:tc>
          <w:tcPr>
            <w:tcW w:type="dxa" w:w="1088"/>
          </w:tcPr>
          <w:p>
            <w:pPr>
              <w:jc w:val="left"/>
            </w:pPr>
            <w:r/>
            <w:r>
              <w:rPr>
                <w:sz w:val="18"/>
              </w:rPr>
              <w:t>nominal</w:t>
            </w:r>
          </w:p>
        </w:tc>
        <w:tc>
          <w:tcPr>
            <w:tcW w:type="dxa" w:w="1088"/>
          </w:tcPr>
          <w:p>
            <w:pPr>
              <w:jc w:val="right"/>
            </w:pPr>
            <w:r/>
            <w:r>
              <w:rPr>
                <w:sz w:val="18"/>
              </w:rPr>
              <w:t>29,522</w:t>
            </w:r>
          </w:p>
        </w:tc>
        <w:tc>
          <w:tcPr>
            <w:tcW w:type="dxa" w:w="1088"/>
          </w:tcPr>
          <w:p>
            <w:pPr>
              <w:jc w:val="right"/>
            </w:pPr>
            <w:r/>
            <w:r>
              <w:rPr>
                <w:sz w:val="18"/>
              </w:rPr>
              <w:t>27,420</w:t>
            </w:r>
          </w:p>
        </w:tc>
        <w:tc>
          <w:tcPr>
            <w:tcW w:type="dxa" w:w="1088"/>
          </w:tcPr>
          <w:p>
            <w:pPr>
              <w:jc w:val="right"/>
            </w:pPr>
            <w:r/>
            <w:r>
              <w:rPr>
                <w:sz w:val="18"/>
              </w:rPr>
              <w:t>51.0 %</w:t>
            </w:r>
          </w:p>
        </w:tc>
        <w:tc>
          <w:tcPr>
            <w:tcW w:type="dxa" w:w="1088"/>
          </w:tcPr>
          <w:p>
            <w:pPr>
              <w:jc w:val="right"/>
            </w:pPr>
            <w:r/>
            <w:r>
              <w:rPr>
                <w:sz w:val="18"/>
              </w:rPr>
              <w:t>+2.9 %</w:t>
            </w:r>
          </w:p>
        </w:tc>
        <w:tc>
          <w:tcPr>
            <w:tcW w:type="dxa" w:w="1088"/>
          </w:tcPr>
          <w:p>
            <w:pPr>
              <w:jc w:val="right"/>
            </w:pPr>
            <w:r/>
            <w:r>
              <w:rPr>
                <w:sz w:val="18"/>
              </w:rPr>
              <w:t>6.87x</w:t>
            </w:r>
          </w:p>
        </w:tc>
        <w:tc>
          <w:tcPr>
            <w:tcW w:type="dxa" w:w="1088"/>
          </w:tcPr>
          <w:p>
            <w:pPr>
              <w:jc w:val="right"/>
            </w:pPr>
            <w:r/>
            <w:r>
              <w:rPr>
                <w:sz w:val="18"/>
              </w:rPr>
              <w:t>10.9 %</w:t>
            </w:r>
          </w:p>
        </w:tc>
        <w:tc>
          <w:tcPr>
            <w:tcW w:type="dxa" w:w="1088"/>
          </w:tcPr>
          <w:p>
            <w:pPr>
              <w:jc w:val="right"/>
            </w:pPr>
            <w:r/>
            <w:r>
              <w:rPr>
                <w:sz w:val="18"/>
              </w:rPr>
              <w:t>89.1 %</w:t>
            </w:r>
          </w:p>
        </w:tc>
        <w:tc>
          <w:tcPr>
            <w:tcW w:type="dxa" w:w="1088"/>
          </w:tcPr>
          <w:p>
            <w:pPr>
              <w:jc w:val="right"/>
            </w:pPr>
            <w:r/>
            <w:r>
              <w:rPr>
                <w:sz w:val="18"/>
              </w:rPr>
              <w:t>128.1</w:t>
            </w:r>
          </w:p>
        </w:tc>
      </w:tr>
      <w:tr>
        <w:tc>
          <w:tcPr>
            <w:tcW w:type="dxa" w:w="1088"/>
          </w:tcPr>
          <w:p>
            <w:pPr>
              <w:jc w:val="left"/>
            </w:pPr>
            <w:r/>
            <w:r>
              <w:rPr>
                <w:sz w:val="18"/>
              </w:rPr>
              <w:t>real (CPI-adj)</w:t>
            </w:r>
          </w:p>
        </w:tc>
        <w:tc>
          <w:tcPr>
            <w:tcW w:type="dxa" w:w="1088"/>
          </w:tcPr>
          <w:p>
            <w:pPr>
              <w:jc w:val="right"/>
            </w:pPr>
            <w:r/>
            <w:r>
              <w:rPr>
                <w:sz w:val="18"/>
              </w:rPr>
              <w:t>29,522</w:t>
            </w:r>
          </w:p>
        </w:tc>
        <w:tc>
          <w:tcPr>
            <w:tcW w:type="dxa" w:w="1088"/>
          </w:tcPr>
          <w:p>
            <w:pPr>
              <w:jc w:val="right"/>
            </w:pPr>
            <w:r/>
            <w:r>
              <w:rPr>
                <w:sz w:val="18"/>
              </w:rPr>
              <w:t>27,420</w:t>
            </w:r>
          </w:p>
        </w:tc>
        <w:tc>
          <w:tcPr>
            <w:tcW w:type="dxa" w:w="1088"/>
          </w:tcPr>
          <w:p>
            <w:pPr>
              <w:jc w:val="right"/>
            </w:pPr>
            <w:r/>
            <w:r>
              <w:rPr>
                <w:sz w:val="18"/>
              </w:rPr>
              <w:t>44.0 %</w:t>
            </w:r>
          </w:p>
        </w:tc>
        <w:tc>
          <w:tcPr>
            <w:tcW w:type="dxa" w:w="1088"/>
          </w:tcPr>
          <w:p>
            <w:pPr>
              <w:jc w:val="right"/>
            </w:pPr>
            <w:r/>
            <w:r>
              <w:rPr>
                <w:sz w:val="18"/>
              </w:rPr>
              <w:t>-18.5 %</w:t>
            </w:r>
          </w:p>
        </w:tc>
        <w:tc>
          <w:tcPr>
            <w:tcW w:type="dxa" w:w="1088"/>
          </w:tcPr>
          <w:p>
            <w:pPr>
              <w:jc w:val="right"/>
            </w:pPr>
            <w:r/>
            <w:r>
              <w:rPr>
                <w:sz w:val="18"/>
              </w:rPr>
              <w:t>2.98x</w:t>
            </w:r>
          </w:p>
        </w:tc>
        <w:tc>
          <w:tcPr>
            <w:tcW w:type="dxa" w:w="1088"/>
          </w:tcPr>
          <w:p>
            <w:pPr>
              <w:jc w:val="right"/>
            </w:pPr>
            <w:r/>
            <w:r>
              <w:rPr>
                <w:sz w:val="18"/>
              </w:rPr>
              <w:t>10.9 %</w:t>
            </w:r>
          </w:p>
        </w:tc>
        <w:tc>
          <w:tcPr>
            <w:tcW w:type="dxa" w:w="1088"/>
          </w:tcPr>
          <w:p>
            <w:pPr>
              <w:jc w:val="right"/>
            </w:pPr>
            <w:r/>
            <w:r>
              <w:rPr>
                <w:sz w:val="18"/>
              </w:rPr>
              <w:t>89.1 %</w:t>
            </w:r>
          </w:p>
        </w:tc>
        <w:tc>
          <w:tcPr>
            <w:tcW w:type="dxa" w:w="1088"/>
          </w:tcPr>
          <w:p>
            <w:pPr>
              <w:jc w:val="right"/>
            </w:pPr>
            <w:r/>
            <w:r>
              <w:rPr>
                <w:sz w:val="18"/>
              </w:rPr>
              <w:t>128.1</w:t>
            </w:r>
          </w:p>
        </w:tc>
      </w:tr>
    </w:tbl>
    <w:p>
      <w:pPr>
        <w:jc w:val="center"/>
      </w:pPr>
      <w:r>
        <w:drawing>
          <wp:inline xmlns:a="http://schemas.openxmlformats.org/drawingml/2006/main" xmlns:pic="http://schemas.openxmlformats.org/drawingml/2006/picture">
            <wp:extent cx="6217920" cy="1787652"/>
            <wp:docPr id="3" name="Picture 3"/>
            <wp:cNvGraphicFramePr>
              <a:graphicFrameLocks noChangeAspect="1"/>
            </wp:cNvGraphicFramePr>
            <a:graphic>
              <a:graphicData uri="http://schemas.openxmlformats.org/drawingml/2006/picture">
                <pic:pic>
                  <pic:nvPicPr>
                    <pic:cNvPr id="0" name="hist_30y_nominal.png"/>
                    <pic:cNvPicPr/>
                  </pic:nvPicPr>
                  <pic:blipFill>
                    <a:blip r:embed="rId11"/>
                    <a:stretch>
                      <a:fillRect/>
                    </a:stretch>
                  </pic:blipFill>
                  <pic:spPr>
                    <a:xfrm>
                      <a:off x="0" y="0"/>
                      <a:ext cx="6217920" cy="1787652"/>
                    </a:xfrm>
                    <a:prstGeom prst="rect"/>
                  </pic:spPr>
                </pic:pic>
              </a:graphicData>
            </a:graphic>
          </wp:inline>
        </w:drawing>
      </w:r>
    </w:p>
    <w:p>
      <w:pPr>
        <w:jc w:val="center"/>
      </w:pPr>
      <w:r>
        <w:drawing>
          <wp:inline xmlns:a="http://schemas.openxmlformats.org/drawingml/2006/main" xmlns:pic="http://schemas.openxmlformats.org/drawingml/2006/picture">
            <wp:extent cx="6217920" cy="1787652"/>
            <wp:docPr id="4" name="Picture 4"/>
            <wp:cNvGraphicFramePr>
              <a:graphicFrameLocks noChangeAspect="1"/>
            </wp:cNvGraphicFramePr>
            <a:graphic>
              <a:graphicData uri="http://schemas.openxmlformats.org/drawingml/2006/picture">
                <pic:pic>
                  <pic:nvPicPr>
                    <pic:cNvPr id="0" name="hist_30y_real.png"/>
                    <pic:cNvPicPr/>
                  </pic:nvPicPr>
                  <pic:blipFill>
                    <a:blip r:embed="rId12"/>
                    <a:stretch>
                      <a:fillRect/>
                    </a:stretch>
                  </pic:blipFill>
                  <pic:spPr>
                    <a:xfrm>
                      <a:off x="0" y="0"/>
                      <a:ext cx="6217920" cy="1787652"/>
                    </a:xfrm>
                    <a:prstGeom prst="rect"/>
                  </pic:spPr>
                </pic:pic>
              </a:graphicData>
            </a:graphic>
          </wp:inline>
        </w:drawing>
      </w:r>
    </w:p>
    <w:p>
      <w:pPr>
        <w:pStyle w:val="Heading2"/>
      </w:pPr>
      <w:r>
        <w:rPr>
          <w:color w:val="1A365D"/>
        </w:rPr>
        <w:t>30-Year Percentiles</w:t>
      </w:r>
    </w:p>
    <w:tbl>
      <w:tblPr>
        <w:tblStyle w:val="LightGrid-Accent1"/>
        <w:tblW w:type="auto" w:w="0"/>
        <w:tblLayout w:type="autofit"/>
        <w:tblLook w:firstColumn="1" w:firstRow="1" w:lastColumn="0" w:lastRow="0" w:noHBand="0" w:noVBand="1" w:val="04A0"/>
      </w:tblPr>
      <w:tblGrid>
        <w:gridCol w:w="1632"/>
        <w:gridCol w:w="1632"/>
        <w:gridCol w:w="1632"/>
        <w:gridCol w:w="1632"/>
        <w:gridCol w:w="1632"/>
        <w:gridCol w:w="1632"/>
      </w:tblGrid>
      <w:tr>
        <w:tc>
          <w:tcPr>
            <w:tcW w:type="dxa" w:w="1632"/>
            <w:shd w:val="clear" w:color="auto" w:fill="E2E8F0"/>
          </w:tcPr>
          <w:p>
            <w:pPr>
              <w:jc w:val="center"/>
            </w:pPr>
            <w:r/>
            <w:r>
              <w:rPr>
                <w:b/>
                <w:sz w:val="18"/>
              </w:rPr>
              <w:t>Basis</w:t>
            </w:r>
          </w:p>
        </w:tc>
        <w:tc>
          <w:tcPr>
            <w:tcW w:type="dxa" w:w="1632"/>
            <w:shd w:val="clear" w:color="auto" w:fill="E2E8F0"/>
          </w:tcPr>
          <w:p>
            <w:pPr>
              <w:jc w:val="center"/>
            </w:pPr>
            <w:r/>
            <w:r>
              <w:rPr>
                <w:b/>
                <w:sz w:val="18"/>
              </w:rPr>
              <w:t>p5</w:t>
            </w:r>
          </w:p>
        </w:tc>
        <w:tc>
          <w:tcPr>
            <w:tcW w:type="dxa" w:w="1632"/>
            <w:shd w:val="clear" w:color="auto" w:fill="E2E8F0"/>
          </w:tcPr>
          <w:p>
            <w:pPr>
              <w:jc w:val="center"/>
            </w:pPr>
            <w:r/>
            <w:r>
              <w:rPr>
                <w:b/>
                <w:sz w:val="18"/>
              </w:rPr>
              <w:t>p25</w:t>
            </w:r>
          </w:p>
        </w:tc>
        <w:tc>
          <w:tcPr>
            <w:tcW w:type="dxa" w:w="1632"/>
            <w:shd w:val="clear" w:color="auto" w:fill="E2E8F0"/>
          </w:tcPr>
          <w:p>
            <w:pPr>
              <w:jc w:val="center"/>
            </w:pPr>
            <w:r/>
            <w:r>
              <w:rPr>
                <w:b/>
                <w:sz w:val="18"/>
              </w:rPr>
              <w:t>Median</w:t>
            </w:r>
          </w:p>
        </w:tc>
        <w:tc>
          <w:tcPr>
            <w:tcW w:type="dxa" w:w="1632"/>
            <w:shd w:val="clear" w:color="auto" w:fill="E2E8F0"/>
          </w:tcPr>
          <w:p>
            <w:pPr>
              <w:jc w:val="center"/>
            </w:pPr>
            <w:r/>
            <w:r>
              <w:rPr>
                <w:b/>
                <w:sz w:val="18"/>
              </w:rPr>
              <w:t>p75</w:t>
            </w:r>
          </w:p>
        </w:tc>
        <w:tc>
          <w:tcPr>
            <w:tcW w:type="dxa" w:w="1632"/>
            <w:shd w:val="clear" w:color="auto" w:fill="E2E8F0"/>
          </w:tcPr>
          <w:p>
            <w:pPr>
              <w:jc w:val="center"/>
            </w:pPr>
            <w:r/>
            <w:r>
              <w:rPr>
                <w:b/>
                <w:sz w:val="18"/>
              </w:rPr>
              <w:t>p95</w:t>
            </w:r>
          </w:p>
        </w:tc>
      </w:tr>
      <w:tr>
        <w:tc>
          <w:tcPr>
            <w:tcW w:type="dxa" w:w="1632"/>
          </w:tcPr>
          <w:p>
            <w:pPr>
              <w:jc w:val="left"/>
            </w:pPr>
            <w:r/>
            <w:r>
              <w:rPr>
                <w:sz w:val="18"/>
              </w:rPr>
              <w:t>nominal</w:t>
            </w:r>
          </w:p>
        </w:tc>
        <w:tc>
          <w:tcPr>
            <w:tcW w:type="dxa" w:w="1632"/>
          </w:tcPr>
          <w:p>
            <w:pPr>
              <w:jc w:val="right"/>
            </w:pPr>
            <w:r/>
            <w:r>
              <w:rPr>
                <w:sz w:val="18"/>
              </w:rPr>
              <w:t>-98.8 %</w:t>
            </w:r>
          </w:p>
        </w:tc>
        <w:tc>
          <w:tcPr>
            <w:tcW w:type="dxa" w:w="1632"/>
          </w:tcPr>
          <w:p>
            <w:pPr>
              <w:jc w:val="right"/>
            </w:pPr>
            <w:r/>
            <w:r>
              <w:rPr>
                <w:sz w:val="18"/>
              </w:rPr>
              <w:t>-84.0 %</w:t>
            </w:r>
          </w:p>
        </w:tc>
        <w:tc>
          <w:tcPr>
            <w:tcW w:type="dxa" w:w="1632"/>
          </w:tcPr>
          <w:p>
            <w:pPr>
              <w:jc w:val="right"/>
            </w:pPr>
            <w:r/>
            <w:r>
              <w:rPr>
                <w:sz w:val="18"/>
              </w:rPr>
              <w:t>+2.9 %</w:t>
            </w:r>
          </w:p>
        </w:tc>
        <w:tc>
          <w:tcPr>
            <w:tcW w:type="dxa" w:w="1632"/>
          </w:tcPr>
          <w:p>
            <w:pPr>
              <w:jc w:val="right"/>
            </w:pPr>
            <w:r/>
            <w:r>
              <w:rPr>
                <w:sz w:val="18"/>
              </w:rPr>
              <w:t>+212.5 %</w:t>
            </w:r>
          </w:p>
        </w:tc>
        <w:tc>
          <w:tcPr>
            <w:tcW w:type="dxa" w:w="1632"/>
          </w:tcPr>
          <w:p>
            <w:pPr>
              <w:jc w:val="right"/>
            </w:pPr>
            <w:r/>
            <w:r>
              <w:rPr>
                <w:sz w:val="18"/>
              </w:rPr>
              <w:t>+2643.8 %</w:t>
            </w:r>
          </w:p>
        </w:tc>
      </w:tr>
      <w:tr>
        <w:tc>
          <w:tcPr>
            <w:tcW w:type="dxa" w:w="1632"/>
          </w:tcPr>
          <w:p>
            <w:pPr>
              <w:jc w:val="left"/>
            </w:pPr>
            <w:r/>
            <w:r>
              <w:rPr>
                <w:sz w:val="18"/>
              </w:rPr>
              <w:t>real (CPI-adj)</w:t>
            </w:r>
          </w:p>
        </w:tc>
        <w:tc>
          <w:tcPr>
            <w:tcW w:type="dxa" w:w="1632"/>
          </w:tcPr>
          <w:p>
            <w:pPr>
              <w:jc w:val="right"/>
            </w:pPr>
            <w:r/>
            <w:r>
              <w:rPr>
                <w:sz w:val="18"/>
              </w:rPr>
              <w:t>-99.1 %</w:t>
            </w:r>
          </w:p>
        </w:tc>
        <w:tc>
          <w:tcPr>
            <w:tcW w:type="dxa" w:w="1632"/>
          </w:tcPr>
          <w:p>
            <w:pPr>
              <w:jc w:val="right"/>
            </w:pPr>
            <w:r/>
            <w:r>
              <w:rPr>
                <w:sz w:val="18"/>
              </w:rPr>
              <w:t>-88.0 %</w:t>
            </w:r>
          </w:p>
        </w:tc>
        <w:tc>
          <w:tcPr>
            <w:tcW w:type="dxa" w:w="1632"/>
          </w:tcPr>
          <w:p>
            <w:pPr>
              <w:jc w:val="right"/>
            </w:pPr>
            <w:r/>
            <w:r>
              <w:rPr>
                <w:sz w:val="18"/>
              </w:rPr>
              <w:t>-18.5 %</w:t>
            </w:r>
          </w:p>
        </w:tc>
        <w:tc>
          <w:tcPr>
            <w:tcW w:type="dxa" w:w="1632"/>
          </w:tcPr>
          <w:p>
            <w:pPr>
              <w:jc w:val="right"/>
            </w:pPr>
            <w:r/>
            <w:r>
              <w:rPr>
                <w:sz w:val="18"/>
              </w:rPr>
              <w:t>+112.0 %</w:t>
            </w:r>
          </w:p>
        </w:tc>
        <w:tc>
          <w:tcPr>
            <w:tcW w:type="dxa" w:w="1632"/>
          </w:tcPr>
          <w:p>
            <w:pPr>
              <w:jc w:val="right"/>
            </w:pPr>
            <w:r/>
            <w:r>
              <w:rPr>
                <w:sz w:val="18"/>
              </w:rPr>
              <w:t>+985.4 %</w:t>
            </w:r>
          </w:p>
        </w:tc>
      </w:tr>
    </w:tbl>
    <w:p>
      <w:pPr>
        <w:pStyle w:val="Heading1"/>
      </w:pPr>
      <w:r>
        <w:rPr>
          <w:color w:val="1A365D"/>
        </w:rPr>
        <w:t>4. Full-Life Results</w:t>
      </w:r>
    </w:p>
    <w:tbl>
      <w:tblPr>
        <w:tblStyle w:val="LightGrid-Accent1"/>
        <w:tblW w:type="auto" w:w="0"/>
        <w:tblLayout w:type="autofit"/>
        <w:tblLook w:firstColumn="1" w:firstRow="1" w:lastColumn="0" w:lastRow="0" w:noHBand="0" w:noVBand="1" w:val="04A0"/>
      </w:tblPr>
      <w:tblGrid>
        <w:gridCol w:w="1632"/>
        <w:gridCol w:w="1632"/>
        <w:gridCol w:w="1632"/>
        <w:gridCol w:w="1632"/>
        <w:gridCol w:w="1632"/>
        <w:gridCol w:w="1632"/>
      </w:tblGrid>
      <w:tr>
        <w:tc>
          <w:tcPr>
            <w:tcW w:type="dxa" w:w="1632"/>
            <w:shd w:val="clear" w:color="auto" w:fill="E2E8F0"/>
          </w:tcPr>
          <w:p>
            <w:pPr>
              <w:jc w:val="center"/>
            </w:pPr>
            <w:r/>
            <w:r>
              <w:rPr>
                <w:b/>
                <w:sz w:val="18"/>
              </w:rPr>
              <w:t>Basis</w:t>
            </w:r>
          </w:p>
        </w:tc>
        <w:tc>
          <w:tcPr>
            <w:tcW w:type="dxa" w:w="1632"/>
            <w:shd w:val="clear" w:color="auto" w:fill="E2E8F0"/>
          </w:tcPr>
          <w:p>
            <w:pPr>
              <w:jc w:val="center"/>
            </w:pPr>
            <w:r/>
            <w:r>
              <w:rPr>
                <w:b/>
                <w:sz w:val="18"/>
              </w:rPr>
              <w:t>Stocks</w:t>
            </w:r>
          </w:p>
        </w:tc>
        <w:tc>
          <w:tcPr>
            <w:tcW w:type="dxa" w:w="1632"/>
            <w:shd w:val="clear" w:color="auto" w:fill="E2E8F0"/>
          </w:tcPr>
          <w:p>
            <w:pPr>
              <w:jc w:val="center"/>
            </w:pPr>
            <w:r/>
            <w:r>
              <w:rPr>
                <w:b/>
                <w:sz w:val="18"/>
              </w:rPr>
              <w:t>% positive</w:t>
            </w:r>
          </w:p>
        </w:tc>
        <w:tc>
          <w:tcPr>
            <w:tcW w:type="dxa" w:w="1632"/>
            <w:shd w:val="clear" w:color="auto" w:fill="E2E8F0"/>
          </w:tcPr>
          <w:p>
            <w:pPr>
              <w:jc w:val="center"/>
            </w:pPr>
            <w:r/>
            <w:r>
              <w:rPr>
                <w:b/>
                <w:sz w:val="18"/>
              </w:rPr>
              <w:t>Median</w:t>
            </w:r>
          </w:p>
        </w:tc>
        <w:tc>
          <w:tcPr>
            <w:tcW w:type="dxa" w:w="1632"/>
            <w:shd w:val="clear" w:color="auto" w:fill="E2E8F0"/>
          </w:tcPr>
          <w:p>
            <w:pPr>
              <w:jc w:val="center"/>
            </w:pPr>
            <w:r/>
            <w:r>
              <w:rPr>
                <w:b/>
                <w:sz w:val="18"/>
              </w:rPr>
              <w:t>Mean multiple</w:t>
            </w:r>
          </w:p>
        </w:tc>
        <w:tc>
          <w:tcPr>
            <w:tcW w:type="dxa" w:w="1632"/>
            <w:shd w:val="clear" w:color="auto" w:fill="E2E8F0"/>
          </w:tcPr>
          <w:p>
            <w:pPr>
              <w:jc w:val="center"/>
            </w:pPr>
            <w:r/>
            <w:r>
              <w:rPr>
                <w:b/>
                <w:sz w:val="18"/>
              </w:rPr>
              <w:t>Max multiple</w:t>
            </w:r>
          </w:p>
        </w:tc>
      </w:tr>
      <w:tr>
        <w:tc>
          <w:tcPr>
            <w:tcW w:type="dxa" w:w="1632"/>
          </w:tcPr>
          <w:p>
            <w:pPr>
              <w:jc w:val="left"/>
            </w:pPr>
            <w:r/>
            <w:r>
              <w:rPr>
                <w:sz w:val="18"/>
              </w:rPr>
              <w:t>nominal</w:t>
            </w:r>
          </w:p>
        </w:tc>
        <w:tc>
          <w:tcPr>
            <w:tcW w:type="dxa" w:w="1632"/>
          </w:tcPr>
          <w:p>
            <w:pPr>
              <w:jc w:val="right"/>
            </w:pPr>
            <w:r/>
            <w:r>
              <w:rPr>
                <w:sz w:val="18"/>
              </w:rPr>
              <w:t>31,565</w:t>
            </w:r>
          </w:p>
        </w:tc>
        <w:tc>
          <w:tcPr>
            <w:tcW w:type="dxa" w:w="1632"/>
          </w:tcPr>
          <w:p>
            <w:pPr>
              <w:jc w:val="right"/>
            </w:pPr>
            <w:r/>
            <w:r>
              <w:rPr>
                <w:sz w:val="18"/>
              </w:rPr>
              <w:t>48.1 %</w:t>
            </w:r>
          </w:p>
        </w:tc>
        <w:tc>
          <w:tcPr>
            <w:tcW w:type="dxa" w:w="1632"/>
          </w:tcPr>
          <w:p>
            <w:pPr>
              <w:jc w:val="right"/>
            </w:pPr>
            <w:r/>
            <w:r>
              <w:rPr>
                <w:sz w:val="18"/>
              </w:rPr>
              <w:t>-7.4 %</w:t>
            </w:r>
          </w:p>
        </w:tc>
        <w:tc>
          <w:tcPr>
            <w:tcW w:type="dxa" w:w="1632"/>
          </w:tcPr>
          <w:p>
            <w:pPr>
              <w:jc w:val="right"/>
            </w:pPr>
            <w:r/>
            <w:r>
              <w:rPr>
                <w:sz w:val="18"/>
              </w:rPr>
              <w:t>295x</w:t>
            </w:r>
          </w:p>
        </w:tc>
        <w:tc>
          <w:tcPr>
            <w:tcW w:type="dxa" w:w="1632"/>
          </w:tcPr>
          <w:p>
            <w:pPr>
              <w:jc w:val="right"/>
            </w:pPr>
            <w:r/>
            <w:r>
              <w:rPr>
                <w:sz w:val="18"/>
              </w:rPr>
              <w:t>4,421,137x</w:t>
            </w:r>
          </w:p>
        </w:tc>
      </w:tr>
      <w:tr>
        <w:tc>
          <w:tcPr>
            <w:tcW w:type="dxa" w:w="1632"/>
          </w:tcPr>
          <w:p>
            <w:pPr>
              <w:jc w:val="left"/>
            </w:pPr>
            <w:r/>
            <w:r>
              <w:rPr>
                <w:sz w:val="18"/>
              </w:rPr>
              <w:t>real (CPI-adj)</w:t>
            </w:r>
          </w:p>
        </w:tc>
        <w:tc>
          <w:tcPr>
            <w:tcW w:type="dxa" w:w="1632"/>
          </w:tcPr>
          <w:p>
            <w:pPr>
              <w:jc w:val="right"/>
            </w:pPr>
            <w:r/>
            <w:r>
              <w:rPr>
                <w:sz w:val="18"/>
              </w:rPr>
              <w:t>31,565</w:t>
            </w:r>
          </w:p>
        </w:tc>
        <w:tc>
          <w:tcPr>
            <w:tcW w:type="dxa" w:w="1632"/>
          </w:tcPr>
          <w:p>
            <w:pPr>
              <w:jc w:val="right"/>
            </w:pPr>
            <w:r/>
            <w:r>
              <w:rPr>
                <w:sz w:val="18"/>
              </w:rPr>
              <w:t>41.3 %</w:t>
            </w:r>
          </w:p>
        </w:tc>
        <w:tc>
          <w:tcPr>
            <w:tcW w:type="dxa" w:w="1632"/>
          </w:tcPr>
          <w:p>
            <w:pPr>
              <w:jc w:val="right"/>
            </w:pPr>
            <w:r/>
            <w:r>
              <w:rPr>
                <w:sz w:val="18"/>
              </w:rPr>
              <w:t>-29.3 %</w:t>
            </w:r>
          </w:p>
        </w:tc>
        <w:tc>
          <w:tcPr>
            <w:tcW w:type="dxa" w:w="1632"/>
          </w:tcPr>
          <w:p>
            <w:pPr>
              <w:jc w:val="right"/>
            </w:pPr>
            <w:r/>
            <w:r>
              <w:rPr>
                <w:sz w:val="18"/>
              </w:rPr>
              <w:t>20x</w:t>
            </w:r>
          </w:p>
        </w:tc>
        <w:tc>
          <w:tcPr>
            <w:tcW w:type="dxa" w:w="1632"/>
          </w:tcPr>
          <w:p>
            <w:pPr>
              <w:jc w:val="right"/>
            </w:pPr>
            <w:r/>
            <w:r>
              <w:rPr>
                <w:sz w:val="18"/>
              </w:rPr>
              <w:t>245,578x</w:t>
            </w:r>
          </w:p>
        </w:tc>
      </w:tr>
    </w:tbl>
    <w:p>
      <w:pPr>
        <w:jc w:val="center"/>
      </w:pPr>
      <w:r>
        <w:drawing>
          <wp:inline xmlns:a="http://schemas.openxmlformats.org/drawingml/2006/main" xmlns:pic="http://schemas.openxmlformats.org/drawingml/2006/picture">
            <wp:extent cx="6217920" cy="1787652"/>
            <wp:docPr id="5" name="Picture 5"/>
            <wp:cNvGraphicFramePr>
              <a:graphicFrameLocks noChangeAspect="1"/>
            </wp:cNvGraphicFramePr>
            <a:graphic>
              <a:graphicData uri="http://schemas.openxmlformats.org/drawingml/2006/picture">
                <pic:pic>
                  <pic:nvPicPr>
                    <pic:cNvPr id="0" name="hist_fulllife_nominal.png"/>
                    <pic:cNvPicPr/>
                  </pic:nvPicPr>
                  <pic:blipFill>
                    <a:blip r:embed="rId13"/>
                    <a:stretch>
                      <a:fillRect/>
                    </a:stretch>
                  </pic:blipFill>
                  <pic:spPr>
                    <a:xfrm>
                      <a:off x="0" y="0"/>
                      <a:ext cx="6217920" cy="1787652"/>
                    </a:xfrm>
                    <a:prstGeom prst="rect"/>
                  </pic:spPr>
                </pic:pic>
              </a:graphicData>
            </a:graphic>
          </wp:inline>
        </w:drawing>
      </w:r>
    </w:p>
    <w:p>
      <w:pPr>
        <w:jc w:val="center"/>
      </w:pPr>
      <w:r>
        <w:drawing>
          <wp:inline xmlns:a="http://schemas.openxmlformats.org/drawingml/2006/main" xmlns:pic="http://schemas.openxmlformats.org/drawingml/2006/picture">
            <wp:extent cx="6217920" cy="1787652"/>
            <wp:docPr id="6" name="Picture 6"/>
            <wp:cNvGraphicFramePr>
              <a:graphicFrameLocks noChangeAspect="1"/>
            </wp:cNvGraphicFramePr>
            <a:graphic>
              <a:graphicData uri="http://schemas.openxmlformats.org/drawingml/2006/picture">
                <pic:pic>
                  <pic:nvPicPr>
                    <pic:cNvPr id="0" name="hist_fulllife_real.png"/>
                    <pic:cNvPicPr/>
                  </pic:nvPicPr>
                  <pic:blipFill>
                    <a:blip r:embed="rId14"/>
                    <a:stretch>
                      <a:fillRect/>
                    </a:stretch>
                  </pic:blipFill>
                  <pic:spPr>
                    <a:xfrm>
                      <a:off x="0" y="0"/>
                      <a:ext cx="6217920" cy="1787652"/>
                    </a:xfrm>
                    <a:prstGeom prst="rect"/>
                  </pic:spPr>
                </pic:pic>
              </a:graphicData>
            </a:graphic>
          </wp:inline>
        </w:drawing>
      </w:r>
    </w:p>
    <w:p>
      <w:pPr>
        <w:pStyle w:val="Heading1"/>
      </w:pPr>
      <w:r>
        <w:rPr>
          <w:color w:val="1A365D"/>
        </w:rPr>
        <w:t>5. Audit</w:t>
      </w:r>
    </w:p>
    <w:tbl>
      <w:tblPr>
        <w:tblStyle w:val="LightGrid-Accent1"/>
        <w:tblW w:type="auto" w:w="0"/>
        <w:tblLayout w:type="autofit"/>
        <w:tblLook w:firstColumn="1" w:firstRow="1" w:lastColumn="0" w:lastRow="0" w:noHBand="0" w:noVBand="1" w:val="04A0"/>
      </w:tblPr>
      <w:tblGrid>
        <w:gridCol w:w="1224"/>
        <w:gridCol w:w="1224"/>
        <w:gridCol w:w="1224"/>
        <w:gridCol w:w="1224"/>
        <w:gridCol w:w="1224"/>
        <w:gridCol w:w="1224"/>
        <w:gridCol w:w="1224"/>
        <w:gridCol w:w="1224"/>
      </w:tblGrid>
      <w:tr>
        <w:tc>
          <w:tcPr>
            <w:tcW w:type="dxa" w:w="1224"/>
            <w:shd w:val="clear" w:color="auto" w:fill="E2E8F0"/>
          </w:tcPr>
          <w:p>
            <w:pPr>
              <w:jc w:val="center"/>
            </w:pPr>
            <w:r/>
            <w:r>
              <w:rPr>
                <w:b/>
                <w:sz w:val="18"/>
              </w:rPr>
              <w:t>Horizon</w:t>
            </w:r>
          </w:p>
        </w:tc>
        <w:tc>
          <w:tcPr>
            <w:tcW w:type="dxa" w:w="1224"/>
            <w:shd w:val="clear" w:color="auto" w:fill="E2E8F0"/>
          </w:tcPr>
          <w:p>
            <w:pPr>
              <w:jc w:val="center"/>
            </w:pPr>
            <w:r/>
            <w:r>
              <w:rPr>
                <w:b/>
                <w:sz w:val="18"/>
              </w:rPr>
              <w:t>Started periods</w:t>
            </w:r>
          </w:p>
        </w:tc>
        <w:tc>
          <w:tcPr>
            <w:tcW w:type="dxa" w:w="1224"/>
            <w:shd w:val="clear" w:color="auto" w:fill="E2E8F0"/>
          </w:tcPr>
          <w:p>
            <w:pPr>
              <w:jc w:val="center"/>
            </w:pPr>
            <w:r/>
            <w:r>
              <w:rPr>
                <w:b/>
                <w:sz w:val="18"/>
              </w:rPr>
              <w:t>Started PERMNOs</w:t>
            </w:r>
          </w:p>
        </w:tc>
        <w:tc>
          <w:tcPr>
            <w:tcW w:type="dxa" w:w="1224"/>
            <w:shd w:val="clear" w:color="auto" w:fill="E2E8F0"/>
          </w:tcPr>
          <w:p>
            <w:pPr>
              <w:jc w:val="center"/>
            </w:pPr>
            <w:r/>
            <w:r>
              <w:rPr>
                <w:b/>
                <w:sz w:val="18"/>
              </w:rPr>
              <w:t>Included periods</w:t>
            </w:r>
          </w:p>
        </w:tc>
        <w:tc>
          <w:tcPr>
            <w:tcW w:type="dxa" w:w="1224"/>
            <w:shd w:val="clear" w:color="auto" w:fill="E2E8F0"/>
          </w:tcPr>
          <w:p>
            <w:pPr>
              <w:jc w:val="center"/>
            </w:pPr>
            <w:r/>
            <w:r>
              <w:rPr>
                <w:b/>
                <w:sz w:val="18"/>
              </w:rPr>
              <w:t>Included PERMNOs</w:t>
            </w:r>
          </w:p>
        </w:tc>
        <w:tc>
          <w:tcPr>
            <w:tcW w:type="dxa" w:w="1224"/>
            <w:shd w:val="clear" w:color="auto" w:fill="E2E8F0"/>
          </w:tcPr>
          <w:p>
            <w:pPr>
              <w:jc w:val="center"/>
            </w:pPr>
            <w:r/>
            <w:r>
              <w:rPr>
                <w:b/>
                <w:sz w:val="18"/>
              </w:rPr>
              <w:t>Complete</w:t>
            </w:r>
          </w:p>
        </w:tc>
        <w:tc>
          <w:tcPr>
            <w:tcW w:type="dxa" w:w="1224"/>
            <w:shd w:val="clear" w:color="auto" w:fill="E2E8F0"/>
          </w:tcPr>
          <w:p>
            <w:pPr>
              <w:jc w:val="center"/>
            </w:pPr>
            <w:r/>
            <w:r>
              <w:rPr>
                <w:b/>
                <w:sz w:val="18"/>
              </w:rPr>
              <w:t>Delisted partial</w:t>
            </w:r>
          </w:p>
        </w:tc>
        <w:tc>
          <w:tcPr>
            <w:tcW w:type="dxa" w:w="1224"/>
            <w:shd w:val="clear" w:color="auto" w:fill="E2E8F0"/>
          </w:tcPr>
          <w:p>
            <w:pPr>
              <w:jc w:val="center"/>
            </w:pPr>
            <w:r/>
            <w:r>
              <w:rPr>
                <w:b/>
                <w:sz w:val="18"/>
              </w:rPr>
              <w:t>Sample-end censored</w:t>
            </w:r>
          </w:p>
        </w:tc>
      </w:tr>
      <w:tr>
        <w:tc>
          <w:tcPr>
            <w:tcW w:type="dxa" w:w="1224"/>
          </w:tcPr>
          <w:p>
            <w:pPr>
              <w:jc w:val="left"/>
            </w:pPr>
            <w:r/>
            <w:r>
              <w:rPr>
                <w:sz w:val="18"/>
              </w:rPr>
              <w:t>10y</w:t>
            </w:r>
          </w:p>
        </w:tc>
        <w:tc>
          <w:tcPr>
            <w:tcW w:type="dxa" w:w="1224"/>
          </w:tcPr>
          <w:p>
            <w:pPr>
              <w:jc w:val="right"/>
            </w:pPr>
            <w:r/>
            <w:r>
              <w:rPr>
                <w:sz w:val="18"/>
              </w:rPr>
              <w:t>54,688</w:t>
            </w:r>
          </w:p>
        </w:tc>
        <w:tc>
          <w:tcPr>
            <w:tcW w:type="dxa" w:w="1224"/>
          </w:tcPr>
          <w:p>
            <w:pPr>
              <w:jc w:val="right"/>
            </w:pPr>
            <w:r/>
            <w:r>
              <w:rPr>
                <w:sz w:val="18"/>
              </w:rPr>
              <w:t>31,565</w:t>
            </w:r>
          </w:p>
        </w:tc>
        <w:tc>
          <w:tcPr>
            <w:tcW w:type="dxa" w:w="1224"/>
          </w:tcPr>
          <w:p>
            <w:pPr>
              <w:jc w:val="right"/>
            </w:pPr>
            <w:r/>
            <w:r>
              <w:rPr>
                <w:sz w:val="18"/>
              </w:rPr>
              <w:t>49,454</w:t>
            </w:r>
          </w:p>
        </w:tc>
        <w:tc>
          <w:tcPr>
            <w:tcW w:type="dxa" w:w="1224"/>
          </w:tcPr>
          <w:p>
            <w:pPr>
              <w:jc w:val="right"/>
            </w:pPr>
            <w:r/>
            <w:r>
              <w:rPr>
                <w:sz w:val="18"/>
              </w:rPr>
              <w:t>28,950</w:t>
            </w:r>
          </w:p>
        </w:tc>
        <w:tc>
          <w:tcPr>
            <w:tcW w:type="dxa" w:w="1224"/>
          </w:tcPr>
          <w:p>
            <w:pPr>
              <w:jc w:val="right"/>
            </w:pPr>
            <w:r/>
            <w:r>
              <w:rPr>
                <w:sz w:val="18"/>
              </w:rPr>
              <w:t>23,269</w:t>
            </w:r>
          </w:p>
        </w:tc>
        <w:tc>
          <w:tcPr>
            <w:tcW w:type="dxa" w:w="1224"/>
          </w:tcPr>
          <w:p>
            <w:pPr>
              <w:jc w:val="right"/>
            </w:pPr>
            <w:r/>
            <w:r>
              <w:rPr>
                <w:sz w:val="18"/>
              </w:rPr>
              <w:t>26,185</w:t>
            </w:r>
          </w:p>
        </w:tc>
        <w:tc>
          <w:tcPr>
            <w:tcW w:type="dxa" w:w="1224"/>
          </w:tcPr>
          <w:p>
            <w:pPr>
              <w:jc w:val="right"/>
            </w:pPr>
            <w:r/>
            <w:r>
              <w:rPr>
                <w:sz w:val="18"/>
              </w:rPr>
              <w:t>5,234</w:t>
            </w:r>
          </w:p>
        </w:tc>
      </w:tr>
      <w:tr>
        <w:tc>
          <w:tcPr>
            <w:tcW w:type="dxa" w:w="1224"/>
          </w:tcPr>
          <w:p>
            <w:pPr>
              <w:jc w:val="left"/>
            </w:pPr>
            <w:r/>
            <w:r>
              <w:rPr>
                <w:sz w:val="18"/>
              </w:rPr>
              <w:t>30y</w:t>
            </w:r>
          </w:p>
        </w:tc>
        <w:tc>
          <w:tcPr>
            <w:tcW w:type="dxa" w:w="1224"/>
          </w:tcPr>
          <w:p>
            <w:pPr>
              <w:jc w:val="right"/>
            </w:pPr>
            <w:r/>
            <w:r>
              <w:rPr>
                <w:sz w:val="18"/>
              </w:rPr>
              <w:t>34,766</w:t>
            </w:r>
          </w:p>
        </w:tc>
        <w:tc>
          <w:tcPr>
            <w:tcW w:type="dxa" w:w="1224"/>
          </w:tcPr>
          <w:p>
            <w:pPr>
              <w:jc w:val="right"/>
            </w:pPr>
            <w:r/>
            <w:r>
              <w:rPr>
                <w:sz w:val="18"/>
              </w:rPr>
              <w:t>31,565</w:t>
            </w:r>
          </w:p>
        </w:tc>
        <w:tc>
          <w:tcPr>
            <w:tcW w:type="dxa" w:w="1224"/>
          </w:tcPr>
          <w:p>
            <w:pPr>
              <w:jc w:val="right"/>
            </w:pPr>
            <w:r/>
            <w:r>
              <w:rPr>
                <w:sz w:val="18"/>
              </w:rPr>
              <w:t>29,522</w:t>
            </w:r>
          </w:p>
        </w:tc>
        <w:tc>
          <w:tcPr>
            <w:tcW w:type="dxa" w:w="1224"/>
          </w:tcPr>
          <w:p>
            <w:pPr>
              <w:jc w:val="right"/>
            </w:pPr>
            <w:r/>
            <w:r>
              <w:rPr>
                <w:sz w:val="18"/>
              </w:rPr>
              <w:t>27,420</w:t>
            </w:r>
          </w:p>
        </w:tc>
        <w:tc>
          <w:tcPr>
            <w:tcW w:type="dxa" w:w="1224"/>
          </w:tcPr>
          <w:p>
            <w:pPr>
              <w:jc w:val="right"/>
            </w:pPr>
            <w:r/>
            <w:r>
              <w:rPr>
                <w:sz w:val="18"/>
              </w:rPr>
              <w:t>3,219</w:t>
            </w:r>
          </w:p>
        </w:tc>
        <w:tc>
          <w:tcPr>
            <w:tcW w:type="dxa" w:w="1224"/>
          </w:tcPr>
          <w:p>
            <w:pPr>
              <w:jc w:val="right"/>
            </w:pPr>
            <w:r/>
            <w:r>
              <w:rPr>
                <w:sz w:val="18"/>
              </w:rPr>
              <w:t>26,303</w:t>
            </w:r>
          </w:p>
        </w:tc>
        <w:tc>
          <w:tcPr>
            <w:tcW w:type="dxa" w:w="1224"/>
          </w:tcPr>
          <w:p>
            <w:pPr>
              <w:jc w:val="right"/>
            </w:pPr>
            <w:r/>
            <w:r>
              <w:rPr>
                <w:sz w:val="18"/>
              </w:rPr>
              <w:t>5,244</w:t>
            </w:r>
          </w:p>
        </w:tc>
      </w:tr>
    </w:tbl>
    <w:p>
      <w:pPr>
        <w:pStyle w:val="Heading1"/>
      </w:pPr>
      <w:r>
        <w:rPr>
          <w:color w:val="1A365D"/>
        </w:rPr>
        <w:t>6. Caveats</w:t>
      </w:r>
    </w:p>
    <w:p>
      <w:pPr>
        <w:pStyle w:val="ListBullet"/>
      </w:pPr>
      <w:r>
        <w:t>Headline holding-period summaries exclude active periods that are right-censored by the sample end.</w:t>
      </w:r>
    </w:p>
    <w:p>
      <w:pPr>
        <w:pStyle w:val="ListBullet"/>
      </w:pPr>
      <w:r>
        <w:t>Not-traded months with missing MthRet are set to 0 to preserve the monthly return timeline.</w:t>
      </w:r>
    </w:p>
    <w:p>
      <w:pPr>
        <w:pStyle w:val="ListBullet"/>
      </w:pPr>
      <w:r>
        <w:t>The 10-year and 30-year observations are stock-periods, so long-lived stocks can contribute multiple non-overlapping periods.</w:t>
      </w:r>
    </w:p>
    <w:p>
      <w:pPr>
        <w:pStyle w:val="ListBullet"/>
      </w:pPr>
      <w:r>
        <w:t>Delisting outcomes are measured using the CRSP monthly returns present in the file.</w:t>
      </w:r>
    </w:p>
    <w:p>
      <w:pPr>
        <w:pStyle w:val="Heading1"/>
      </w:pPr>
      <w:r>
        <w:rPr>
          <w:color w:val="1A365D"/>
        </w:rPr>
        <w:t>7. Files Produced</w:t>
      </w:r>
    </w:p>
    <w:p>
      <w:r>
        <w:rPr>
          <w:rFonts w:ascii="Consolas" w:hAnsi="Consolas"/>
          <w:sz w:val="17"/>
        </w:rPr>
        <w:t>results/</w:t>
        <w:br/>
        <w:t xml:space="preserve">  report.md, report.docx</w:t>
        <w:br/>
        <w:t xml:space="preserve">  summary_10y.csv, summary_30y.csv, summary_holding_periods.csv</w:t>
        <w:br/>
        <w:t xml:space="preserve">  summary_fulllife.csv, summary_audit.csv, universe_summary.csv</w:t>
        <w:br/>
        <w:t xml:space="preserve">  returns_10y.csv, returns_30y.csv, holding_period_audit.csv</w:t>
        <w:br/>
        <w:t xml:space="preserve">  permno_fulllife.csv</w:t>
        <w:br/>
        <w:t xml:space="preserve">  hist_10y_nominal.png, hist_10y_real.png</w:t>
        <w:br/>
        <w:t xml:space="preserve">  hist_30y_nominal.png, hist_30y_real.png</w:t>
        <w:br/>
        <w:t xml:space="preserve">  hist_fulllife_nominal.png, hist_fulllife_real.png</w:t>
      </w:r>
    </w:p>
    <w:p>
      <w:pPr>
        <w:pStyle w:val="Heading1"/>
      </w:pPr>
      <w:r>
        <w:rPr>
          <w:color w:val="1A365D"/>
        </w:rPr>
        <w:t>8. Reproducibility</w:t>
      </w:r>
    </w:p>
    <w:p>
      <w:r>
        <w:rPr>
          <w:rFonts w:ascii="Consolas" w:hAnsi="Consolas"/>
          <w:sz w:val="20"/>
        </w:rPr>
        <w:t>python program/run_analysis.py</w:t>
        <w:br/>
        <w:t>python program/build_docx.py</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