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A365D"/>
          <w:sz w:val="34"/>
        </w:rPr>
        <w:t>Long-run return distributions of US-listed stocks</w:t>
      </w:r>
    </w:p>
    <w:p>
      <w:pPr>
        <w:jc w:val="center"/>
      </w:pPr>
      <w:r>
        <w:rPr>
          <w:i/>
          <w:sz w:val="22"/>
        </w:rPr>
        <w:t>CRSP monthly, 31,565 common-stock PERMNOs, 192512-202512</w:t>
      </w:r>
    </w:p>
    <w:p>
      <w:pPr>
        <w:pStyle w:val="Heading1"/>
      </w:pPr>
      <w:r>
        <w:rPr>
          <w:color w:val="1A365D"/>
        </w:rPr>
        <w:t>TL;DR</w:t>
      </w:r>
    </w:p>
    <w:p>
      <w:pPr>
        <w:pStyle w:val="ListBullet"/>
      </w:pPr>
      <w:r>
        <w:t>Stock-anchored 10-year stock-periods: 57.3 % positive nominal and 49.9 % positive real.</w:t>
      </w:r>
    </w:p>
    <w:p>
      <w:pPr>
        <w:pStyle w:val="ListBullet"/>
      </w:pPr>
      <w:r>
        <w:t>Calendar start-cohort windows are reported separately; for example, 62.2 % of the 2015-2025 start-cohort observations were positive in nominal terms.</w:t>
      </w:r>
    </w:p>
    <w:p>
      <w:pPr>
        <w:pStyle w:val="ListBullet"/>
      </w:pPr>
      <w:r>
        <w:t>Full-life per stock: 48.1 % positive nominal and 41.3 % positive real.</w:t>
      </w:r>
    </w:p>
    <w:p>
      <w:pPr>
        <w:pStyle w:val="Heading1"/>
      </w:pPr>
      <w:r>
        <w:rPr>
          <w:color w:val="1A365D"/>
        </w:rPr>
        <w:t>1. Data And Universe</w:t>
      </w:r>
    </w:p>
    <w:p>
      <w:r>
        <w:t>The analysis uses 31,565 US-listed common-stock PERMNOs and 4,405,424 monthly stock observations after duplicate removal.</w:t>
      </w:r>
    </w:p>
    <w:p>
      <w:r>
        <w:t>The universe explicitly requires common stock and excludes REITs, ETFs, closed-end funds, and other non-common-stock securities.</w:t>
      </w:r>
    </w:p>
    <w:p>
      <w:r>
        <w:t>CPI-U inflation factor from 192501 to 202512: 18.73x (2.94 % annualized).</w:t>
      </w:r>
    </w:p>
    <w:p>
      <w:pPr>
        <w:pStyle w:val="Heading1"/>
      </w:pPr>
      <w:r>
        <w:rPr>
          <w:color w:val="1A365D"/>
        </w:rPr>
        <w:t>2. Methodology</w:t>
      </w:r>
    </w:p>
    <w:p>
      <w:r>
        <w:t>The primary stock-anchored view builds non-overlapping 10-year and 30-year stock-periods from each stock's first observed CRSP month. Delisted stocks remain in the sample through their last observed month. Periods incomplete only because the sample ends are retained in detail files but excluded from headline summaries.</w:t>
      </w:r>
    </w:p>
    <w:p>
      <w:r>
        <w:t>The calendar-window view forms start cohorts at fixed dates such as 1925-12, 1935-12, and so on. A stock must be present at the start of a calendar window; stocks that list midway through that window are not added halfway.</w:t>
      </w:r>
    </w:p>
    <w:p>
      <w:r>
        <w:t>Detail files include CRSP terminal fields and sparse-history flags for auditability. The main return convention includes the first observed monthly return; a sensitivity table also reports results after skipping that first observed return.</w:t>
      </w:r>
    </w:p>
    <w:p>
      <w:pPr>
        <w:pStyle w:val="Heading1"/>
      </w:pPr>
      <w:r>
        <w:rPr>
          <w:color w:val="1A365D"/>
        </w:rPr>
        <w:t>3. Stock-Anchored Results</w:t>
      </w:r>
    </w:p>
    <w:p>
      <w:pPr>
        <w:pStyle w:val="Heading2"/>
      </w:pPr>
      <w:r>
        <w:rPr>
          <w:color w:val="1A365D"/>
        </w:rPr>
        <w:t>All Non-Overlapping Stock-Periods</w:t>
      </w:r>
    </w:p>
    <w:tbl>
      <w:tblPr>
        <w:tblStyle w:val="LightGrid-Accent1"/>
        <w:tblW w:type="auto" w:w="0"/>
        <w:tblLayout w:type="autofit"/>
        <w:tblLook w:firstColumn="1" w:firstRow="1" w:lastColumn="0" w:lastRow="0" w:noHBand="0" w:noVBand="1" w:val="04A0"/>
      </w:tblPr>
      <w:tblGrid>
        <w:gridCol w:w="1008"/>
        <w:gridCol w:w="1008"/>
        <w:gridCol w:w="1008"/>
        <w:gridCol w:w="1008"/>
        <w:gridCol w:w="1008"/>
        <w:gridCol w:w="1008"/>
        <w:gridCol w:w="1008"/>
        <w:gridCol w:w="1008"/>
        <w:gridCol w:w="1008"/>
        <w:gridCol w:w="1008"/>
      </w:tblGrid>
      <w:tr>
        <w:tc>
          <w:tcPr>
            <w:tcW w:type="dxa" w:w="1008"/>
            <w:shd w:val="clear" w:color="auto" w:fill="E2E8F0"/>
          </w:tcPr>
          <w:p>
            <w:pPr>
              <w:jc w:val="center"/>
            </w:pPr>
            <w:r/>
            <w:r>
              <w:rPr>
                <w:b/>
                <w:sz w:val="18"/>
              </w:rPr>
              <w:t>Horizon</w:t>
            </w:r>
          </w:p>
        </w:tc>
        <w:tc>
          <w:tcPr>
            <w:tcW w:type="dxa" w:w="1008"/>
            <w:shd w:val="clear" w:color="auto" w:fill="E2E8F0"/>
          </w:tcPr>
          <w:p>
            <w:pPr>
              <w:jc w:val="center"/>
            </w:pPr>
            <w:r/>
            <w:r>
              <w:rPr>
                <w:b/>
                <w:sz w:val="18"/>
              </w:rPr>
              <w:t>Basis</w:t>
            </w:r>
          </w:p>
        </w:tc>
        <w:tc>
          <w:tcPr>
            <w:tcW w:type="dxa" w:w="1008"/>
            <w:shd w:val="clear" w:color="auto" w:fill="E2E8F0"/>
          </w:tcPr>
          <w:p>
            <w:pPr>
              <w:jc w:val="center"/>
            </w:pPr>
            <w:r/>
            <w:r>
              <w:rPr>
                <w:b/>
                <w:sz w:val="18"/>
              </w:rPr>
              <w:t>Periods</w:t>
            </w:r>
          </w:p>
        </w:tc>
        <w:tc>
          <w:tcPr>
            <w:tcW w:type="dxa" w:w="1008"/>
            <w:shd w:val="clear" w:color="auto" w:fill="E2E8F0"/>
          </w:tcPr>
          <w:p>
            <w:pPr>
              <w:jc w:val="center"/>
            </w:pPr>
            <w:r/>
            <w:r>
              <w:rPr>
                <w:b/>
                <w:sz w:val="18"/>
              </w:rPr>
              <w:t>PERMNOs</w:t>
            </w:r>
          </w:p>
        </w:tc>
        <w:tc>
          <w:tcPr>
            <w:tcW w:type="dxa" w:w="1008"/>
            <w:shd w:val="clear" w:color="auto" w:fill="E2E8F0"/>
          </w:tcPr>
          <w:p>
            <w:pPr>
              <w:jc w:val="center"/>
            </w:pPr>
            <w:r/>
            <w:r>
              <w:rPr>
                <w:b/>
                <w:sz w:val="18"/>
              </w:rPr>
              <w:t>% positive</w:t>
            </w:r>
          </w:p>
        </w:tc>
        <w:tc>
          <w:tcPr>
            <w:tcW w:type="dxa" w:w="1008"/>
            <w:shd w:val="clear" w:color="auto" w:fill="E2E8F0"/>
          </w:tcPr>
          <w:p>
            <w:pPr>
              <w:jc w:val="center"/>
            </w:pPr>
            <w:r/>
            <w:r>
              <w:rPr>
                <w:b/>
                <w:sz w:val="18"/>
              </w:rPr>
              <w:t>Median</w:t>
            </w:r>
          </w:p>
        </w:tc>
        <w:tc>
          <w:tcPr>
            <w:tcW w:type="dxa" w:w="1008"/>
            <w:shd w:val="clear" w:color="auto" w:fill="E2E8F0"/>
          </w:tcPr>
          <w:p>
            <w:pPr>
              <w:jc w:val="center"/>
            </w:pPr>
            <w:r/>
            <w:r>
              <w:rPr>
                <w:b/>
                <w:sz w:val="18"/>
              </w:rPr>
              <w:t>Mean multiple</w:t>
            </w:r>
          </w:p>
        </w:tc>
        <w:tc>
          <w:tcPr>
            <w:tcW w:type="dxa" w:w="1008"/>
            <w:shd w:val="clear" w:color="auto" w:fill="E2E8F0"/>
          </w:tcPr>
          <w:p>
            <w:pPr>
              <w:jc w:val="center"/>
            </w:pPr>
            <w:r/>
            <w:r>
              <w:rPr>
                <w:b/>
                <w:sz w:val="18"/>
              </w:rPr>
              <w:t>% complete</w:t>
            </w:r>
          </w:p>
        </w:tc>
        <w:tc>
          <w:tcPr>
            <w:tcW w:type="dxa" w:w="1008"/>
            <w:shd w:val="clear" w:color="auto" w:fill="E2E8F0"/>
          </w:tcPr>
          <w:p>
            <w:pPr>
              <w:jc w:val="center"/>
            </w:pPr>
            <w:r/>
            <w:r>
              <w:rPr>
                <w:b/>
                <w:sz w:val="18"/>
              </w:rPr>
              <w:t>% delisted</w:t>
            </w:r>
          </w:p>
        </w:tc>
        <w:tc>
          <w:tcPr>
            <w:tcW w:type="dxa" w:w="1008"/>
            <w:shd w:val="clear" w:color="auto" w:fill="E2E8F0"/>
          </w:tcPr>
          <w:p>
            <w:pPr>
              <w:jc w:val="center"/>
            </w:pPr>
            <w:r/>
            <w:r>
              <w:rPr>
                <w:b/>
                <w:sz w:val="18"/>
              </w:rPr>
              <w:t>% sparse</w:t>
            </w:r>
          </w:p>
        </w:tc>
      </w:tr>
      <w:tr>
        <w:tc>
          <w:tcPr>
            <w:tcW w:type="dxa" w:w="1008"/>
          </w:tcPr>
          <w:p>
            <w:pPr>
              <w:jc w:val="left"/>
            </w:pPr>
            <w:r/>
            <w:r>
              <w:rPr>
                <w:sz w:val="18"/>
              </w:rPr>
              <w:t>10y</w:t>
            </w:r>
          </w:p>
        </w:tc>
        <w:tc>
          <w:tcPr>
            <w:tcW w:type="dxa" w:w="1008"/>
          </w:tcPr>
          <w:p>
            <w:pPr>
              <w:jc w:val="right"/>
            </w:pPr>
            <w:r/>
            <w:r>
              <w:rPr>
                <w:sz w:val="18"/>
              </w:rPr>
              <w:t>nominal</w:t>
            </w:r>
          </w:p>
        </w:tc>
        <w:tc>
          <w:tcPr>
            <w:tcW w:type="dxa" w:w="1008"/>
          </w:tcPr>
          <w:p>
            <w:pPr>
              <w:jc w:val="right"/>
            </w:pPr>
            <w:r/>
            <w:r>
              <w:rPr>
                <w:sz w:val="18"/>
              </w:rPr>
              <w:t>49,454</w:t>
            </w:r>
          </w:p>
        </w:tc>
        <w:tc>
          <w:tcPr>
            <w:tcW w:type="dxa" w:w="1008"/>
          </w:tcPr>
          <w:p>
            <w:pPr>
              <w:jc w:val="right"/>
            </w:pPr>
            <w:r/>
            <w:r>
              <w:rPr>
                <w:sz w:val="18"/>
              </w:rPr>
              <w:t>28,950</w:t>
            </w:r>
          </w:p>
        </w:tc>
        <w:tc>
          <w:tcPr>
            <w:tcW w:type="dxa" w:w="1008"/>
          </w:tcPr>
          <w:p>
            <w:pPr>
              <w:jc w:val="right"/>
            </w:pPr>
            <w:r/>
            <w:r>
              <w:rPr>
                <w:sz w:val="18"/>
              </w:rPr>
              <w:t>57.3 %</w:t>
            </w:r>
          </w:p>
        </w:tc>
        <w:tc>
          <w:tcPr>
            <w:tcW w:type="dxa" w:w="1008"/>
          </w:tcPr>
          <w:p>
            <w:pPr>
              <w:jc w:val="right"/>
            </w:pPr>
            <w:r/>
            <w:r>
              <w:rPr>
                <w:sz w:val="18"/>
              </w:rPr>
              <w:t>+23.7 %</w:t>
            </w:r>
          </w:p>
        </w:tc>
        <w:tc>
          <w:tcPr>
            <w:tcW w:type="dxa" w:w="1008"/>
          </w:tcPr>
          <w:p>
            <w:pPr>
              <w:jc w:val="right"/>
            </w:pPr>
            <w:r/>
            <w:r>
              <w:rPr>
                <w:sz w:val="18"/>
              </w:rPr>
              <w:t>2.29x</w:t>
            </w:r>
          </w:p>
        </w:tc>
        <w:tc>
          <w:tcPr>
            <w:tcW w:type="dxa" w:w="1008"/>
          </w:tcPr>
          <w:p>
            <w:pPr>
              <w:jc w:val="right"/>
            </w:pPr>
            <w:r/>
            <w:r>
              <w:rPr>
                <w:sz w:val="18"/>
              </w:rPr>
              <w:t>47.1 %</w:t>
            </w:r>
          </w:p>
        </w:tc>
        <w:tc>
          <w:tcPr>
            <w:tcW w:type="dxa" w:w="1008"/>
          </w:tcPr>
          <w:p>
            <w:pPr>
              <w:jc w:val="right"/>
            </w:pPr>
            <w:r/>
            <w:r>
              <w:rPr>
                <w:sz w:val="18"/>
              </w:rPr>
              <w:t>52.9 %</w:t>
            </w:r>
          </w:p>
        </w:tc>
        <w:tc>
          <w:tcPr>
            <w:tcW w:type="dxa" w:w="1008"/>
          </w:tcPr>
          <w:p>
            <w:pPr>
              <w:jc w:val="right"/>
            </w:pPr>
            <w:r/>
            <w:r>
              <w:rPr>
                <w:sz w:val="18"/>
              </w:rPr>
              <w:t>0.014 %</w:t>
            </w:r>
          </w:p>
        </w:tc>
      </w:tr>
      <w:tr>
        <w:tc>
          <w:tcPr>
            <w:tcW w:type="dxa" w:w="1008"/>
          </w:tcPr>
          <w:p>
            <w:pPr>
              <w:jc w:val="left"/>
            </w:pPr>
            <w:r/>
            <w:r>
              <w:rPr>
                <w:sz w:val="18"/>
              </w:rPr>
              <w:t>10y</w:t>
            </w:r>
          </w:p>
        </w:tc>
        <w:tc>
          <w:tcPr>
            <w:tcW w:type="dxa" w:w="1008"/>
          </w:tcPr>
          <w:p>
            <w:pPr>
              <w:jc w:val="right"/>
            </w:pPr>
            <w:r/>
            <w:r>
              <w:rPr>
                <w:sz w:val="18"/>
              </w:rPr>
              <w:t>real (CPI-adj)</w:t>
            </w:r>
          </w:p>
        </w:tc>
        <w:tc>
          <w:tcPr>
            <w:tcW w:type="dxa" w:w="1008"/>
          </w:tcPr>
          <w:p>
            <w:pPr>
              <w:jc w:val="right"/>
            </w:pPr>
            <w:r/>
            <w:r>
              <w:rPr>
                <w:sz w:val="18"/>
              </w:rPr>
              <w:t>49,454</w:t>
            </w:r>
          </w:p>
        </w:tc>
        <w:tc>
          <w:tcPr>
            <w:tcW w:type="dxa" w:w="1008"/>
          </w:tcPr>
          <w:p>
            <w:pPr>
              <w:jc w:val="right"/>
            </w:pPr>
            <w:r/>
            <w:r>
              <w:rPr>
                <w:sz w:val="18"/>
              </w:rPr>
              <w:t>28,950</w:t>
            </w:r>
          </w:p>
        </w:tc>
        <w:tc>
          <w:tcPr>
            <w:tcW w:type="dxa" w:w="1008"/>
          </w:tcPr>
          <w:p>
            <w:pPr>
              <w:jc w:val="right"/>
            </w:pPr>
            <w:r/>
            <w:r>
              <w:rPr>
                <w:sz w:val="18"/>
              </w:rPr>
              <w:t>49.9 %</w:t>
            </w:r>
          </w:p>
        </w:tc>
        <w:tc>
          <w:tcPr>
            <w:tcW w:type="dxa" w:w="1008"/>
          </w:tcPr>
          <w:p>
            <w:pPr>
              <w:jc w:val="right"/>
            </w:pPr>
            <w:r/>
            <w:r>
              <w:rPr>
                <w:sz w:val="18"/>
              </w:rPr>
              <w:t>-0.2 %</w:t>
            </w:r>
          </w:p>
        </w:tc>
        <w:tc>
          <w:tcPr>
            <w:tcW w:type="dxa" w:w="1008"/>
          </w:tcPr>
          <w:p>
            <w:pPr>
              <w:jc w:val="right"/>
            </w:pPr>
            <w:r/>
            <w:r>
              <w:rPr>
                <w:sz w:val="18"/>
              </w:rPr>
              <w:t>1.71x</w:t>
            </w:r>
          </w:p>
        </w:tc>
        <w:tc>
          <w:tcPr>
            <w:tcW w:type="dxa" w:w="1008"/>
          </w:tcPr>
          <w:p>
            <w:pPr>
              <w:jc w:val="right"/>
            </w:pPr>
            <w:r/>
            <w:r>
              <w:rPr>
                <w:sz w:val="18"/>
              </w:rPr>
              <w:t>47.1 %</w:t>
            </w:r>
          </w:p>
        </w:tc>
        <w:tc>
          <w:tcPr>
            <w:tcW w:type="dxa" w:w="1008"/>
          </w:tcPr>
          <w:p>
            <w:pPr>
              <w:jc w:val="right"/>
            </w:pPr>
            <w:r/>
            <w:r>
              <w:rPr>
                <w:sz w:val="18"/>
              </w:rPr>
              <w:t>52.9 %</w:t>
            </w:r>
          </w:p>
        </w:tc>
        <w:tc>
          <w:tcPr>
            <w:tcW w:type="dxa" w:w="1008"/>
          </w:tcPr>
          <w:p>
            <w:pPr>
              <w:jc w:val="right"/>
            </w:pPr>
            <w:r/>
            <w:r>
              <w:rPr>
                <w:sz w:val="18"/>
              </w:rPr>
              <w:t>0.014 %</w:t>
            </w:r>
          </w:p>
        </w:tc>
      </w:tr>
      <w:tr>
        <w:tc>
          <w:tcPr>
            <w:tcW w:type="dxa" w:w="1008"/>
          </w:tcPr>
          <w:p>
            <w:pPr>
              <w:jc w:val="left"/>
            </w:pPr>
            <w:r/>
            <w:r>
              <w:rPr>
                <w:sz w:val="18"/>
              </w:rPr>
              <w:t>30y</w:t>
            </w:r>
          </w:p>
        </w:tc>
        <w:tc>
          <w:tcPr>
            <w:tcW w:type="dxa" w:w="1008"/>
          </w:tcPr>
          <w:p>
            <w:pPr>
              <w:jc w:val="right"/>
            </w:pPr>
            <w:r/>
            <w:r>
              <w:rPr>
                <w:sz w:val="18"/>
              </w:rPr>
              <w:t>nominal</w:t>
            </w:r>
          </w:p>
        </w:tc>
        <w:tc>
          <w:tcPr>
            <w:tcW w:type="dxa" w:w="1008"/>
          </w:tcPr>
          <w:p>
            <w:pPr>
              <w:jc w:val="right"/>
            </w:pPr>
            <w:r/>
            <w:r>
              <w:rPr>
                <w:sz w:val="18"/>
              </w:rPr>
              <w:t>29,522</w:t>
            </w:r>
          </w:p>
        </w:tc>
        <w:tc>
          <w:tcPr>
            <w:tcW w:type="dxa" w:w="1008"/>
          </w:tcPr>
          <w:p>
            <w:pPr>
              <w:jc w:val="right"/>
            </w:pPr>
            <w:r/>
            <w:r>
              <w:rPr>
                <w:sz w:val="18"/>
              </w:rPr>
              <w:t>27,420</w:t>
            </w:r>
          </w:p>
        </w:tc>
        <w:tc>
          <w:tcPr>
            <w:tcW w:type="dxa" w:w="1008"/>
          </w:tcPr>
          <w:p>
            <w:pPr>
              <w:jc w:val="right"/>
            </w:pPr>
            <w:r/>
            <w:r>
              <w:rPr>
                <w:sz w:val="18"/>
              </w:rPr>
              <w:t>51.0 %</w:t>
            </w:r>
          </w:p>
        </w:tc>
        <w:tc>
          <w:tcPr>
            <w:tcW w:type="dxa" w:w="1008"/>
          </w:tcPr>
          <w:p>
            <w:pPr>
              <w:jc w:val="right"/>
            </w:pPr>
            <w:r/>
            <w:r>
              <w:rPr>
                <w:sz w:val="18"/>
              </w:rPr>
              <w:t>+2.9 %</w:t>
            </w:r>
          </w:p>
        </w:tc>
        <w:tc>
          <w:tcPr>
            <w:tcW w:type="dxa" w:w="1008"/>
          </w:tcPr>
          <w:p>
            <w:pPr>
              <w:jc w:val="right"/>
            </w:pPr>
            <w:r/>
            <w:r>
              <w:rPr>
                <w:sz w:val="18"/>
              </w:rPr>
              <w:t>6.87x</w:t>
            </w:r>
          </w:p>
        </w:tc>
        <w:tc>
          <w:tcPr>
            <w:tcW w:type="dxa" w:w="1008"/>
          </w:tcPr>
          <w:p>
            <w:pPr>
              <w:jc w:val="right"/>
            </w:pPr>
            <w:r/>
            <w:r>
              <w:rPr>
                <w:sz w:val="18"/>
              </w:rPr>
              <w:t>10.9 %</w:t>
            </w:r>
          </w:p>
        </w:tc>
        <w:tc>
          <w:tcPr>
            <w:tcW w:type="dxa" w:w="1008"/>
          </w:tcPr>
          <w:p>
            <w:pPr>
              <w:jc w:val="right"/>
            </w:pPr>
            <w:r/>
            <w:r>
              <w:rPr>
                <w:sz w:val="18"/>
              </w:rPr>
              <w:t>89.1 %</w:t>
            </w:r>
          </w:p>
        </w:tc>
        <w:tc>
          <w:tcPr>
            <w:tcW w:type="dxa" w:w="1008"/>
          </w:tcPr>
          <w:p>
            <w:pPr>
              <w:jc w:val="right"/>
            </w:pPr>
            <w:r/>
            <w:r>
              <w:rPr>
                <w:sz w:val="18"/>
              </w:rPr>
              <w:t>0.020 %</w:t>
            </w:r>
          </w:p>
        </w:tc>
      </w:tr>
      <w:tr>
        <w:tc>
          <w:tcPr>
            <w:tcW w:type="dxa" w:w="1008"/>
          </w:tcPr>
          <w:p>
            <w:pPr>
              <w:jc w:val="left"/>
            </w:pPr>
            <w:r/>
            <w:r>
              <w:rPr>
                <w:sz w:val="18"/>
              </w:rPr>
              <w:t>30y</w:t>
            </w:r>
          </w:p>
        </w:tc>
        <w:tc>
          <w:tcPr>
            <w:tcW w:type="dxa" w:w="1008"/>
          </w:tcPr>
          <w:p>
            <w:pPr>
              <w:jc w:val="right"/>
            </w:pPr>
            <w:r/>
            <w:r>
              <w:rPr>
                <w:sz w:val="18"/>
              </w:rPr>
              <w:t>real (CPI-adj)</w:t>
            </w:r>
          </w:p>
        </w:tc>
        <w:tc>
          <w:tcPr>
            <w:tcW w:type="dxa" w:w="1008"/>
          </w:tcPr>
          <w:p>
            <w:pPr>
              <w:jc w:val="right"/>
            </w:pPr>
            <w:r/>
            <w:r>
              <w:rPr>
                <w:sz w:val="18"/>
              </w:rPr>
              <w:t>29,522</w:t>
            </w:r>
          </w:p>
        </w:tc>
        <w:tc>
          <w:tcPr>
            <w:tcW w:type="dxa" w:w="1008"/>
          </w:tcPr>
          <w:p>
            <w:pPr>
              <w:jc w:val="right"/>
            </w:pPr>
            <w:r/>
            <w:r>
              <w:rPr>
                <w:sz w:val="18"/>
              </w:rPr>
              <w:t>27,420</w:t>
            </w:r>
          </w:p>
        </w:tc>
        <w:tc>
          <w:tcPr>
            <w:tcW w:type="dxa" w:w="1008"/>
          </w:tcPr>
          <w:p>
            <w:pPr>
              <w:jc w:val="right"/>
            </w:pPr>
            <w:r/>
            <w:r>
              <w:rPr>
                <w:sz w:val="18"/>
              </w:rPr>
              <w:t>44.0 %</w:t>
            </w:r>
          </w:p>
        </w:tc>
        <w:tc>
          <w:tcPr>
            <w:tcW w:type="dxa" w:w="1008"/>
          </w:tcPr>
          <w:p>
            <w:pPr>
              <w:jc w:val="right"/>
            </w:pPr>
            <w:r/>
            <w:r>
              <w:rPr>
                <w:sz w:val="18"/>
              </w:rPr>
              <w:t>-18.5 %</w:t>
            </w:r>
          </w:p>
        </w:tc>
        <w:tc>
          <w:tcPr>
            <w:tcW w:type="dxa" w:w="1008"/>
          </w:tcPr>
          <w:p>
            <w:pPr>
              <w:jc w:val="right"/>
            </w:pPr>
            <w:r/>
            <w:r>
              <w:rPr>
                <w:sz w:val="18"/>
              </w:rPr>
              <w:t>2.98x</w:t>
            </w:r>
          </w:p>
        </w:tc>
        <w:tc>
          <w:tcPr>
            <w:tcW w:type="dxa" w:w="1008"/>
          </w:tcPr>
          <w:p>
            <w:pPr>
              <w:jc w:val="right"/>
            </w:pPr>
            <w:r/>
            <w:r>
              <w:rPr>
                <w:sz w:val="18"/>
              </w:rPr>
              <w:t>10.9 %</w:t>
            </w:r>
          </w:p>
        </w:tc>
        <w:tc>
          <w:tcPr>
            <w:tcW w:type="dxa" w:w="1008"/>
          </w:tcPr>
          <w:p>
            <w:pPr>
              <w:jc w:val="right"/>
            </w:pPr>
            <w:r/>
            <w:r>
              <w:rPr>
                <w:sz w:val="18"/>
              </w:rPr>
              <w:t>89.1 %</w:t>
            </w:r>
          </w:p>
        </w:tc>
        <w:tc>
          <w:tcPr>
            <w:tcW w:type="dxa" w:w="1008"/>
          </w:tcPr>
          <w:p>
            <w:pPr>
              <w:jc w:val="right"/>
            </w:pPr>
            <w:r/>
            <w:r>
              <w:rPr>
                <w:sz w:val="18"/>
              </w:rPr>
              <w:t>0.020 %</w:t>
            </w:r>
          </w:p>
        </w:tc>
      </w:tr>
    </w:tbl>
    <w:p>
      <w:pPr>
        <w:jc w:val="center"/>
      </w:pPr>
      <w:r>
        <w:drawing>
          <wp:inline xmlns:a="http://schemas.openxmlformats.org/drawingml/2006/main" xmlns:pic="http://schemas.openxmlformats.org/drawingml/2006/picture">
            <wp:extent cx="6217920" cy="1787652"/>
            <wp:docPr id="1" name="Picture 1"/>
            <wp:cNvGraphicFramePr>
              <a:graphicFrameLocks noChangeAspect="1"/>
            </wp:cNvGraphicFramePr>
            <a:graphic>
              <a:graphicData uri="http://schemas.openxmlformats.org/drawingml/2006/picture">
                <pic:pic>
                  <pic:nvPicPr>
                    <pic:cNvPr id="0" name="hist_10y_nominal.png"/>
                    <pic:cNvPicPr/>
                  </pic:nvPicPr>
                  <pic:blipFill>
                    <a:blip r:embed="rId9"/>
                    <a:stretch>
                      <a:fillRect/>
                    </a:stretch>
                  </pic:blipFill>
                  <pic:spPr>
                    <a:xfrm>
                      <a:off x="0" y="0"/>
                      <a:ext cx="6217920" cy="1787652"/>
                    </a:xfrm>
                    <a:prstGeom prst="rect"/>
                  </pic:spPr>
                </pic:pic>
              </a:graphicData>
            </a:graphic>
          </wp:inline>
        </w:drawing>
      </w:r>
    </w:p>
    <w:p>
      <w:pPr>
        <w:jc w:val="center"/>
      </w:pPr>
      <w:r>
        <w:drawing>
          <wp:inline xmlns:a="http://schemas.openxmlformats.org/drawingml/2006/main" xmlns:pic="http://schemas.openxmlformats.org/drawingml/2006/picture">
            <wp:extent cx="6217920" cy="1787652"/>
            <wp:docPr id="2" name="Picture 2"/>
            <wp:cNvGraphicFramePr>
              <a:graphicFrameLocks noChangeAspect="1"/>
            </wp:cNvGraphicFramePr>
            <a:graphic>
              <a:graphicData uri="http://schemas.openxmlformats.org/drawingml/2006/picture">
                <pic:pic>
                  <pic:nvPicPr>
                    <pic:cNvPr id="0" name="hist_10y_real.png"/>
                    <pic:cNvPicPr/>
                  </pic:nvPicPr>
                  <pic:blipFill>
                    <a:blip r:embed="rId10"/>
                    <a:stretch>
                      <a:fillRect/>
                    </a:stretch>
                  </pic:blipFill>
                  <pic:spPr>
                    <a:xfrm>
                      <a:off x="0" y="0"/>
                      <a:ext cx="6217920" cy="1787652"/>
                    </a:xfrm>
                    <a:prstGeom prst="rect"/>
                  </pic:spPr>
                </pic:pic>
              </a:graphicData>
            </a:graphic>
          </wp:inline>
        </w:drawing>
      </w:r>
    </w:p>
    <w:p>
      <w:pPr>
        <w:jc w:val="center"/>
      </w:pPr>
      <w:r>
        <w:drawing>
          <wp:inline xmlns:a="http://schemas.openxmlformats.org/drawingml/2006/main" xmlns:pic="http://schemas.openxmlformats.org/drawingml/2006/picture">
            <wp:extent cx="6217920" cy="1787652"/>
            <wp:docPr id="3" name="Picture 3"/>
            <wp:cNvGraphicFramePr>
              <a:graphicFrameLocks noChangeAspect="1"/>
            </wp:cNvGraphicFramePr>
            <a:graphic>
              <a:graphicData uri="http://schemas.openxmlformats.org/drawingml/2006/picture">
                <pic:pic>
                  <pic:nvPicPr>
                    <pic:cNvPr id="0" name="hist_30y_nominal.png"/>
                    <pic:cNvPicPr/>
                  </pic:nvPicPr>
                  <pic:blipFill>
                    <a:blip r:embed="rId11"/>
                    <a:stretch>
                      <a:fillRect/>
                    </a:stretch>
                  </pic:blipFill>
                  <pic:spPr>
                    <a:xfrm>
                      <a:off x="0" y="0"/>
                      <a:ext cx="6217920" cy="1787652"/>
                    </a:xfrm>
                    <a:prstGeom prst="rect"/>
                  </pic:spPr>
                </pic:pic>
              </a:graphicData>
            </a:graphic>
          </wp:inline>
        </w:drawing>
      </w:r>
    </w:p>
    <w:p>
      <w:pPr>
        <w:jc w:val="center"/>
      </w:pPr>
      <w:r>
        <w:drawing>
          <wp:inline xmlns:a="http://schemas.openxmlformats.org/drawingml/2006/main" xmlns:pic="http://schemas.openxmlformats.org/drawingml/2006/picture">
            <wp:extent cx="6217920" cy="1787652"/>
            <wp:docPr id="4" name="Picture 4"/>
            <wp:cNvGraphicFramePr>
              <a:graphicFrameLocks noChangeAspect="1"/>
            </wp:cNvGraphicFramePr>
            <a:graphic>
              <a:graphicData uri="http://schemas.openxmlformats.org/drawingml/2006/picture">
                <pic:pic>
                  <pic:nvPicPr>
                    <pic:cNvPr id="0" name="hist_30y_real.png"/>
                    <pic:cNvPicPr/>
                  </pic:nvPicPr>
                  <pic:blipFill>
                    <a:blip r:embed="rId12"/>
                    <a:stretch>
                      <a:fillRect/>
                    </a:stretch>
                  </pic:blipFill>
                  <pic:spPr>
                    <a:xfrm>
                      <a:off x="0" y="0"/>
                      <a:ext cx="6217920" cy="1787652"/>
                    </a:xfrm>
                    <a:prstGeom prst="rect"/>
                  </pic:spPr>
                </pic:pic>
              </a:graphicData>
            </a:graphic>
          </wp:inline>
        </w:drawing>
      </w:r>
    </w:p>
    <w:p>
      <w:pPr>
        <w:pStyle w:val="Heading2"/>
      </w:pPr>
      <w:r>
        <w:rPr>
          <w:color w:val="1A365D"/>
        </w:rPr>
        <w:t>First Period Per Stock</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gridCol w:w="1440"/>
      </w:tblGrid>
      <w:tr>
        <w:tc>
          <w:tcPr>
            <w:tcW w:type="dxa" w:w="1440"/>
            <w:shd w:val="clear" w:color="auto" w:fill="E2E8F0"/>
          </w:tcPr>
          <w:p>
            <w:pPr>
              <w:jc w:val="center"/>
            </w:pPr>
            <w:r/>
            <w:r>
              <w:rPr>
                <w:b/>
                <w:sz w:val="18"/>
              </w:rPr>
              <w:t>Horizon</w:t>
            </w:r>
          </w:p>
        </w:tc>
        <w:tc>
          <w:tcPr>
            <w:tcW w:type="dxa" w:w="1440"/>
            <w:shd w:val="clear" w:color="auto" w:fill="E2E8F0"/>
          </w:tcPr>
          <w:p>
            <w:pPr>
              <w:jc w:val="center"/>
            </w:pPr>
            <w:r/>
            <w:r>
              <w:rPr>
                <w:b/>
                <w:sz w:val="18"/>
              </w:rPr>
              <w:t>Basis</w:t>
            </w:r>
          </w:p>
        </w:tc>
        <w:tc>
          <w:tcPr>
            <w:tcW w:type="dxa" w:w="1440"/>
            <w:shd w:val="clear" w:color="auto" w:fill="E2E8F0"/>
          </w:tcPr>
          <w:p>
            <w:pPr>
              <w:jc w:val="center"/>
            </w:pPr>
            <w:r/>
            <w:r>
              <w:rPr>
                <w:b/>
                <w:sz w:val="18"/>
              </w:rPr>
              <w:t>Stocks</w:t>
            </w:r>
          </w:p>
        </w:tc>
        <w:tc>
          <w:tcPr>
            <w:tcW w:type="dxa" w:w="1440"/>
            <w:shd w:val="clear" w:color="auto" w:fill="E2E8F0"/>
          </w:tcPr>
          <w:p>
            <w:pPr>
              <w:jc w:val="center"/>
            </w:pPr>
            <w:r/>
            <w:r>
              <w:rPr>
                <w:b/>
                <w:sz w:val="18"/>
              </w:rPr>
              <w:t>% positive</w:t>
            </w:r>
          </w:p>
        </w:tc>
        <w:tc>
          <w:tcPr>
            <w:tcW w:type="dxa" w:w="1440"/>
            <w:shd w:val="clear" w:color="auto" w:fill="E2E8F0"/>
          </w:tcPr>
          <w:p>
            <w:pPr>
              <w:jc w:val="center"/>
            </w:pPr>
            <w:r/>
            <w:r>
              <w:rPr>
                <w:b/>
                <w:sz w:val="18"/>
              </w:rPr>
              <w:t>Median</w:t>
            </w:r>
          </w:p>
        </w:tc>
        <w:tc>
          <w:tcPr>
            <w:tcW w:type="dxa" w:w="1440"/>
            <w:shd w:val="clear" w:color="auto" w:fill="E2E8F0"/>
          </w:tcPr>
          <w:p>
            <w:pPr>
              <w:jc w:val="center"/>
            </w:pPr>
            <w:r/>
            <w:r>
              <w:rPr>
                <w:b/>
                <w:sz w:val="18"/>
              </w:rPr>
              <w:t>% complete</w:t>
            </w:r>
          </w:p>
        </w:tc>
        <w:tc>
          <w:tcPr>
            <w:tcW w:type="dxa" w:w="1440"/>
            <w:shd w:val="clear" w:color="auto" w:fill="E2E8F0"/>
          </w:tcPr>
          <w:p>
            <w:pPr>
              <w:jc w:val="center"/>
            </w:pPr>
            <w:r/>
            <w:r>
              <w:rPr>
                <w:b/>
                <w:sz w:val="18"/>
              </w:rPr>
              <w:t>% delisted</w:t>
            </w:r>
          </w:p>
        </w:tc>
      </w:tr>
      <w:tr>
        <w:tc>
          <w:tcPr>
            <w:tcW w:type="dxa" w:w="1440"/>
          </w:tcPr>
          <w:p>
            <w:pPr>
              <w:jc w:val="left"/>
            </w:pPr>
            <w:r/>
            <w:r>
              <w:rPr>
                <w:sz w:val="18"/>
              </w:rPr>
              <w:t>10y</w:t>
            </w:r>
          </w:p>
        </w:tc>
        <w:tc>
          <w:tcPr>
            <w:tcW w:type="dxa" w:w="1440"/>
          </w:tcPr>
          <w:p>
            <w:pPr>
              <w:jc w:val="right"/>
            </w:pPr>
            <w:r/>
            <w:r>
              <w:rPr>
                <w:sz w:val="18"/>
              </w:rPr>
              <w:t>nominal</w:t>
            </w:r>
          </w:p>
        </w:tc>
        <w:tc>
          <w:tcPr>
            <w:tcW w:type="dxa" w:w="1440"/>
          </w:tcPr>
          <w:p>
            <w:pPr>
              <w:jc w:val="right"/>
            </w:pPr>
            <w:r/>
            <w:r>
              <w:rPr>
                <w:sz w:val="18"/>
              </w:rPr>
              <w:t>28,950</w:t>
            </w:r>
          </w:p>
        </w:tc>
        <w:tc>
          <w:tcPr>
            <w:tcW w:type="dxa" w:w="1440"/>
          </w:tcPr>
          <w:p>
            <w:pPr>
              <w:jc w:val="right"/>
            </w:pPr>
            <w:r/>
            <w:r>
              <w:rPr>
                <w:sz w:val="18"/>
              </w:rPr>
              <w:t>48.0 %</w:t>
            </w:r>
          </w:p>
        </w:tc>
        <w:tc>
          <w:tcPr>
            <w:tcW w:type="dxa" w:w="1440"/>
          </w:tcPr>
          <w:p>
            <w:pPr>
              <w:jc w:val="right"/>
            </w:pPr>
            <w:r/>
            <w:r>
              <w:rPr>
                <w:sz w:val="18"/>
              </w:rPr>
              <w:t>-7.0 %</w:t>
            </w:r>
          </w:p>
        </w:tc>
        <w:tc>
          <w:tcPr>
            <w:tcW w:type="dxa" w:w="1440"/>
          </w:tcPr>
          <w:p>
            <w:pPr>
              <w:jc w:val="right"/>
            </w:pPr>
            <w:r/>
            <w:r>
              <w:rPr>
                <w:sz w:val="18"/>
              </w:rPr>
              <w:t>41.3 %</w:t>
            </w:r>
          </w:p>
        </w:tc>
        <w:tc>
          <w:tcPr>
            <w:tcW w:type="dxa" w:w="1440"/>
          </w:tcPr>
          <w:p>
            <w:pPr>
              <w:jc w:val="right"/>
            </w:pPr>
            <w:r/>
            <w:r>
              <w:rPr>
                <w:sz w:val="18"/>
              </w:rPr>
              <w:t>58.7 %</w:t>
            </w:r>
          </w:p>
        </w:tc>
      </w:tr>
      <w:tr>
        <w:tc>
          <w:tcPr>
            <w:tcW w:type="dxa" w:w="1440"/>
          </w:tcPr>
          <w:p>
            <w:pPr>
              <w:jc w:val="left"/>
            </w:pPr>
            <w:r/>
            <w:r>
              <w:rPr>
                <w:sz w:val="18"/>
              </w:rPr>
              <w:t>10y</w:t>
            </w:r>
          </w:p>
        </w:tc>
        <w:tc>
          <w:tcPr>
            <w:tcW w:type="dxa" w:w="1440"/>
          </w:tcPr>
          <w:p>
            <w:pPr>
              <w:jc w:val="right"/>
            </w:pPr>
            <w:r/>
            <w:r>
              <w:rPr>
                <w:sz w:val="18"/>
              </w:rPr>
              <w:t>real (CPI-adj)</w:t>
            </w:r>
          </w:p>
        </w:tc>
        <w:tc>
          <w:tcPr>
            <w:tcW w:type="dxa" w:w="1440"/>
          </w:tcPr>
          <w:p>
            <w:pPr>
              <w:jc w:val="right"/>
            </w:pPr>
            <w:r/>
            <w:r>
              <w:rPr>
                <w:sz w:val="18"/>
              </w:rPr>
              <w:t>28,950</w:t>
            </w:r>
          </w:p>
        </w:tc>
        <w:tc>
          <w:tcPr>
            <w:tcW w:type="dxa" w:w="1440"/>
          </w:tcPr>
          <w:p>
            <w:pPr>
              <w:jc w:val="right"/>
            </w:pPr>
            <w:r/>
            <w:r>
              <w:rPr>
                <w:sz w:val="18"/>
              </w:rPr>
              <w:t>40.2 %</w:t>
            </w:r>
          </w:p>
        </w:tc>
        <w:tc>
          <w:tcPr>
            <w:tcW w:type="dxa" w:w="1440"/>
          </w:tcPr>
          <w:p>
            <w:pPr>
              <w:jc w:val="right"/>
            </w:pPr>
            <w:r/>
            <w:r>
              <w:rPr>
                <w:sz w:val="18"/>
              </w:rPr>
              <w:t>-27.3 %</w:t>
            </w:r>
          </w:p>
        </w:tc>
        <w:tc>
          <w:tcPr>
            <w:tcW w:type="dxa" w:w="1440"/>
          </w:tcPr>
          <w:p>
            <w:pPr>
              <w:jc w:val="right"/>
            </w:pPr>
            <w:r/>
            <w:r>
              <w:rPr>
                <w:sz w:val="18"/>
              </w:rPr>
              <w:t>41.3 %</w:t>
            </w:r>
          </w:p>
        </w:tc>
        <w:tc>
          <w:tcPr>
            <w:tcW w:type="dxa" w:w="1440"/>
          </w:tcPr>
          <w:p>
            <w:pPr>
              <w:jc w:val="right"/>
            </w:pPr>
            <w:r/>
            <w:r>
              <w:rPr>
                <w:sz w:val="18"/>
              </w:rPr>
              <w:t>58.7 %</w:t>
            </w:r>
          </w:p>
        </w:tc>
      </w:tr>
      <w:tr>
        <w:tc>
          <w:tcPr>
            <w:tcW w:type="dxa" w:w="1440"/>
          </w:tcPr>
          <w:p>
            <w:pPr>
              <w:jc w:val="left"/>
            </w:pPr>
            <w:r/>
            <w:r>
              <w:rPr>
                <w:sz w:val="18"/>
              </w:rPr>
              <w:t>30y</w:t>
            </w:r>
          </w:p>
        </w:tc>
        <w:tc>
          <w:tcPr>
            <w:tcW w:type="dxa" w:w="1440"/>
          </w:tcPr>
          <w:p>
            <w:pPr>
              <w:jc w:val="right"/>
            </w:pPr>
            <w:r/>
            <w:r>
              <w:rPr>
                <w:sz w:val="18"/>
              </w:rPr>
              <w:t>nominal</w:t>
            </w:r>
          </w:p>
        </w:tc>
        <w:tc>
          <w:tcPr>
            <w:tcW w:type="dxa" w:w="1440"/>
          </w:tcPr>
          <w:p>
            <w:pPr>
              <w:jc w:val="right"/>
            </w:pPr>
            <w:r/>
            <w:r>
              <w:rPr>
                <w:sz w:val="18"/>
              </w:rPr>
              <w:t>27,420</w:t>
            </w:r>
          </w:p>
        </w:tc>
        <w:tc>
          <w:tcPr>
            <w:tcW w:type="dxa" w:w="1440"/>
          </w:tcPr>
          <w:p>
            <w:pPr>
              <w:jc w:val="right"/>
            </w:pPr>
            <w:r/>
            <w:r>
              <w:rPr>
                <w:sz w:val="18"/>
              </w:rPr>
              <w:t>49.1 %</w:t>
            </w:r>
          </w:p>
        </w:tc>
        <w:tc>
          <w:tcPr>
            <w:tcW w:type="dxa" w:w="1440"/>
          </w:tcPr>
          <w:p>
            <w:pPr>
              <w:jc w:val="right"/>
            </w:pPr>
            <w:r/>
            <w:r>
              <w:rPr>
                <w:sz w:val="18"/>
              </w:rPr>
              <w:t>-3.5 %</w:t>
            </w:r>
          </w:p>
        </w:tc>
        <w:tc>
          <w:tcPr>
            <w:tcW w:type="dxa" w:w="1440"/>
          </w:tcPr>
          <w:p>
            <w:pPr>
              <w:jc w:val="right"/>
            </w:pPr>
            <w:r/>
            <w:r>
              <w:rPr>
                <w:sz w:val="18"/>
              </w:rPr>
              <w:t>10.2 %</w:t>
            </w:r>
          </w:p>
        </w:tc>
        <w:tc>
          <w:tcPr>
            <w:tcW w:type="dxa" w:w="1440"/>
          </w:tcPr>
          <w:p>
            <w:pPr>
              <w:jc w:val="right"/>
            </w:pPr>
            <w:r/>
            <w:r>
              <w:rPr>
                <w:sz w:val="18"/>
              </w:rPr>
              <w:t>89.8 %</w:t>
            </w:r>
          </w:p>
        </w:tc>
      </w:tr>
      <w:tr>
        <w:tc>
          <w:tcPr>
            <w:tcW w:type="dxa" w:w="1440"/>
          </w:tcPr>
          <w:p>
            <w:pPr>
              <w:jc w:val="left"/>
            </w:pPr>
            <w:r/>
            <w:r>
              <w:rPr>
                <w:sz w:val="18"/>
              </w:rPr>
              <w:t>30y</w:t>
            </w:r>
          </w:p>
        </w:tc>
        <w:tc>
          <w:tcPr>
            <w:tcW w:type="dxa" w:w="1440"/>
          </w:tcPr>
          <w:p>
            <w:pPr>
              <w:jc w:val="right"/>
            </w:pPr>
            <w:r/>
            <w:r>
              <w:rPr>
                <w:sz w:val="18"/>
              </w:rPr>
              <w:t>real (CPI-adj)</w:t>
            </w:r>
          </w:p>
        </w:tc>
        <w:tc>
          <w:tcPr>
            <w:tcW w:type="dxa" w:w="1440"/>
          </w:tcPr>
          <w:p>
            <w:pPr>
              <w:jc w:val="right"/>
            </w:pPr>
            <w:r/>
            <w:r>
              <w:rPr>
                <w:sz w:val="18"/>
              </w:rPr>
              <w:t>27,420</w:t>
            </w:r>
          </w:p>
        </w:tc>
        <w:tc>
          <w:tcPr>
            <w:tcW w:type="dxa" w:w="1440"/>
          </w:tcPr>
          <w:p>
            <w:pPr>
              <w:jc w:val="right"/>
            </w:pPr>
            <w:r/>
            <w:r>
              <w:rPr>
                <w:sz w:val="18"/>
              </w:rPr>
              <w:t>41.9 %</w:t>
            </w:r>
          </w:p>
        </w:tc>
        <w:tc>
          <w:tcPr>
            <w:tcW w:type="dxa" w:w="1440"/>
          </w:tcPr>
          <w:p>
            <w:pPr>
              <w:jc w:val="right"/>
            </w:pPr>
            <w:r/>
            <w:r>
              <w:rPr>
                <w:sz w:val="18"/>
              </w:rPr>
              <w:t>-26.7 %</w:t>
            </w:r>
          </w:p>
        </w:tc>
        <w:tc>
          <w:tcPr>
            <w:tcW w:type="dxa" w:w="1440"/>
          </w:tcPr>
          <w:p>
            <w:pPr>
              <w:jc w:val="right"/>
            </w:pPr>
            <w:r/>
            <w:r>
              <w:rPr>
                <w:sz w:val="18"/>
              </w:rPr>
              <w:t>10.2 %</w:t>
            </w:r>
          </w:p>
        </w:tc>
        <w:tc>
          <w:tcPr>
            <w:tcW w:type="dxa" w:w="1440"/>
          </w:tcPr>
          <w:p>
            <w:pPr>
              <w:jc w:val="right"/>
            </w:pPr>
            <w:r/>
            <w:r>
              <w:rPr>
                <w:sz w:val="18"/>
              </w:rPr>
              <w:t>89.8 %</w:t>
            </w:r>
          </w:p>
        </w:tc>
      </w:tr>
    </w:tbl>
    <w:p>
      <w:pPr>
        <w:pStyle w:val="Heading1"/>
      </w:pPr>
      <w:r>
        <w:rPr>
          <w:color w:val="1A365D"/>
        </w:rPr>
        <w:t>4. Calendar Start-Cohort Windows</w:t>
      </w:r>
    </w:p>
    <w:p>
      <w:pPr>
        <w:pStyle w:val="Heading2"/>
      </w:pPr>
      <w:r>
        <w:rPr>
          <w:color w:val="1A365D"/>
        </w:rPr>
        <w:t>10-Year Windows</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gridCol w:w="1440"/>
      </w:tblGrid>
      <w:tr>
        <w:tc>
          <w:tcPr>
            <w:tcW w:type="dxa" w:w="1440"/>
            <w:shd w:val="clear" w:color="auto" w:fill="E2E8F0"/>
          </w:tcPr>
          <w:p>
            <w:pPr>
              <w:jc w:val="center"/>
            </w:pPr>
            <w:r/>
            <w:r>
              <w:rPr>
                <w:b/>
                <w:sz w:val="18"/>
              </w:rPr>
              <w:t>Window</w:t>
            </w:r>
          </w:p>
        </w:tc>
        <w:tc>
          <w:tcPr>
            <w:tcW w:type="dxa" w:w="1440"/>
            <w:shd w:val="clear" w:color="auto" w:fill="E2E8F0"/>
          </w:tcPr>
          <w:p>
            <w:pPr>
              <w:jc w:val="center"/>
            </w:pPr>
            <w:r/>
            <w:r>
              <w:rPr>
                <w:b/>
                <w:sz w:val="18"/>
              </w:rPr>
              <w:t>N</w:t>
            </w:r>
          </w:p>
        </w:tc>
        <w:tc>
          <w:tcPr>
            <w:tcW w:type="dxa" w:w="1440"/>
            <w:shd w:val="clear" w:color="auto" w:fill="E2E8F0"/>
          </w:tcPr>
          <w:p>
            <w:pPr>
              <w:jc w:val="center"/>
            </w:pPr>
            <w:r/>
            <w:r>
              <w:rPr>
                <w:b/>
                <w:sz w:val="18"/>
              </w:rPr>
              <w:t>% positive nominal</w:t>
            </w:r>
          </w:p>
        </w:tc>
        <w:tc>
          <w:tcPr>
            <w:tcW w:type="dxa" w:w="1440"/>
            <w:shd w:val="clear" w:color="auto" w:fill="E2E8F0"/>
          </w:tcPr>
          <w:p>
            <w:pPr>
              <w:jc w:val="center"/>
            </w:pPr>
            <w:r/>
            <w:r>
              <w:rPr>
                <w:b/>
                <w:sz w:val="18"/>
              </w:rPr>
              <w:t>% positive real</w:t>
            </w:r>
          </w:p>
        </w:tc>
        <w:tc>
          <w:tcPr>
            <w:tcW w:type="dxa" w:w="1440"/>
            <w:shd w:val="clear" w:color="auto" w:fill="E2E8F0"/>
          </w:tcPr>
          <w:p>
            <w:pPr>
              <w:jc w:val="center"/>
            </w:pPr>
            <w:r/>
            <w:r>
              <w:rPr>
                <w:b/>
                <w:sz w:val="18"/>
              </w:rPr>
              <w:t>Median nominal</w:t>
            </w:r>
          </w:p>
        </w:tc>
        <w:tc>
          <w:tcPr>
            <w:tcW w:type="dxa" w:w="1440"/>
            <w:shd w:val="clear" w:color="auto" w:fill="E2E8F0"/>
          </w:tcPr>
          <w:p>
            <w:pPr>
              <w:jc w:val="center"/>
            </w:pPr>
            <w:r/>
            <w:r>
              <w:rPr>
                <w:b/>
                <w:sz w:val="18"/>
              </w:rPr>
              <w:t>Median real</w:t>
            </w:r>
          </w:p>
        </w:tc>
        <w:tc>
          <w:tcPr>
            <w:tcW w:type="dxa" w:w="1440"/>
            <w:shd w:val="clear" w:color="auto" w:fill="E2E8F0"/>
          </w:tcPr>
          <w:p>
            <w:pPr>
              <w:jc w:val="center"/>
            </w:pPr>
            <w:r/>
            <w:r>
              <w:rPr>
                <w:b/>
                <w:sz w:val="18"/>
              </w:rPr>
              <w:t>% delisted</w:t>
            </w:r>
          </w:p>
        </w:tc>
      </w:tr>
      <w:tr>
        <w:tc>
          <w:tcPr>
            <w:tcW w:type="dxa" w:w="1440"/>
          </w:tcPr>
          <w:p>
            <w:pPr>
              <w:jc w:val="left"/>
            </w:pPr>
            <w:r/>
            <w:r>
              <w:rPr>
                <w:sz w:val="18"/>
              </w:rPr>
              <w:t>1925-1935</w:t>
            </w:r>
          </w:p>
        </w:tc>
        <w:tc>
          <w:tcPr>
            <w:tcW w:type="dxa" w:w="1440"/>
          </w:tcPr>
          <w:p>
            <w:pPr>
              <w:jc w:val="right"/>
            </w:pPr>
            <w:r/>
            <w:r>
              <w:rPr>
                <w:sz w:val="18"/>
              </w:rPr>
              <w:t>508</w:t>
            </w:r>
          </w:p>
        </w:tc>
        <w:tc>
          <w:tcPr>
            <w:tcW w:type="dxa" w:w="1440"/>
          </w:tcPr>
          <w:p>
            <w:pPr>
              <w:jc w:val="right"/>
            </w:pPr>
            <w:r/>
            <w:r>
              <w:rPr>
                <w:sz w:val="18"/>
              </w:rPr>
              <w:t>40.7 %</w:t>
            </w:r>
          </w:p>
        </w:tc>
        <w:tc>
          <w:tcPr>
            <w:tcW w:type="dxa" w:w="1440"/>
          </w:tcPr>
          <w:p>
            <w:pPr>
              <w:jc w:val="right"/>
            </w:pPr>
            <w:r/>
            <w:r>
              <w:rPr>
                <w:sz w:val="18"/>
              </w:rPr>
              <w:t>48.8 %</w:t>
            </w:r>
          </w:p>
        </w:tc>
        <w:tc>
          <w:tcPr>
            <w:tcW w:type="dxa" w:w="1440"/>
          </w:tcPr>
          <w:p>
            <w:pPr>
              <w:jc w:val="right"/>
            </w:pPr>
            <w:r/>
            <w:r>
              <w:rPr>
                <w:sz w:val="18"/>
              </w:rPr>
              <w:t>-23.9 %</w:t>
            </w:r>
          </w:p>
        </w:tc>
        <w:tc>
          <w:tcPr>
            <w:tcW w:type="dxa" w:w="1440"/>
          </w:tcPr>
          <w:p>
            <w:pPr>
              <w:jc w:val="right"/>
            </w:pPr>
            <w:r/>
            <w:r>
              <w:rPr>
                <w:sz w:val="18"/>
              </w:rPr>
              <w:t>-6.6 %</w:t>
            </w:r>
          </w:p>
        </w:tc>
        <w:tc>
          <w:tcPr>
            <w:tcW w:type="dxa" w:w="1440"/>
          </w:tcPr>
          <w:p>
            <w:pPr>
              <w:jc w:val="right"/>
            </w:pPr>
            <w:r/>
            <w:r>
              <w:rPr>
                <w:sz w:val="18"/>
              </w:rPr>
              <w:t>22.0 %</w:t>
            </w:r>
          </w:p>
        </w:tc>
      </w:tr>
      <w:tr>
        <w:tc>
          <w:tcPr>
            <w:tcW w:type="dxa" w:w="1440"/>
          </w:tcPr>
          <w:p>
            <w:pPr>
              <w:jc w:val="left"/>
            </w:pPr>
            <w:r/>
            <w:r>
              <w:rPr>
                <w:sz w:val="18"/>
              </w:rPr>
              <w:t>1935-1945</w:t>
            </w:r>
          </w:p>
        </w:tc>
        <w:tc>
          <w:tcPr>
            <w:tcW w:type="dxa" w:w="1440"/>
          </w:tcPr>
          <w:p>
            <w:pPr>
              <w:jc w:val="right"/>
            </w:pPr>
            <w:r/>
            <w:r>
              <w:rPr>
                <w:sz w:val="18"/>
              </w:rPr>
              <w:t>717</w:t>
            </w:r>
          </w:p>
        </w:tc>
        <w:tc>
          <w:tcPr>
            <w:tcW w:type="dxa" w:w="1440"/>
          </w:tcPr>
          <w:p>
            <w:pPr>
              <w:jc w:val="right"/>
            </w:pPr>
            <w:r/>
            <w:r>
              <w:rPr>
                <w:sz w:val="18"/>
              </w:rPr>
              <w:t>87.6 %</w:t>
            </w:r>
          </w:p>
        </w:tc>
        <w:tc>
          <w:tcPr>
            <w:tcW w:type="dxa" w:w="1440"/>
          </w:tcPr>
          <w:p>
            <w:pPr>
              <w:jc w:val="right"/>
            </w:pPr>
            <w:r/>
            <w:r>
              <w:rPr>
                <w:sz w:val="18"/>
              </w:rPr>
              <w:t>83.8 %</w:t>
            </w:r>
          </w:p>
        </w:tc>
        <w:tc>
          <w:tcPr>
            <w:tcW w:type="dxa" w:w="1440"/>
          </w:tcPr>
          <w:p>
            <w:pPr>
              <w:jc w:val="right"/>
            </w:pPr>
            <w:r/>
            <w:r>
              <w:rPr>
                <w:sz w:val="18"/>
              </w:rPr>
              <w:t>+140.1 %</w:t>
            </w:r>
          </w:p>
        </w:tc>
        <w:tc>
          <w:tcPr>
            <w:tcW w:type="dxa" w:w="1440"/>
          </w:tcPr>
          <w:p>
            <w:pPr>
              <w:jc w:val="right"/>
            </w:pPr>
            <w:r/>
            <w:r>
              <w:rPr>
                <w:sz w:val="18"/>
              </w:rPr>
              <w:t>+83.8 %</w:t>
            </w:r>
          </w:p>
        </w:tc>
        <w:tc>
          <w:tcPr>
            <w:tcW w:type="dxa" w:w="1440"/>
          </w:tcPr>
          <w:p>
            <w:pPr>
              <w:jc w:val="right"/>
            </w:pPr>
            <w:r/>
            <w:r>
              <w:rPr>
                <w:sz w:val="18"/>
              </w:rPr>
              <w:t>13.1 %</w:t>
            </w:r>
          </w:p>
        </w:tc>
      </w:tr>
      <w:tr>
        <w:tc>
          <w:tcPr>
            <w:tcW w:type="dxa" w:w="1440"/>
          </w:tcPr>
          <w:p>
            <w:pPr>
              <w:jc w:val="left"/>
            </w:pPr>
            <w:r/>
            <w:r>
              <w:rPr>
                <w:sz w:val="18"/>
              </w:rPr>
              <w:t>1945-1955</w:t>
            </w:r>
          </w:p>
        </w:tc>
        <w:tc>
          <w:tcPr>
            <w:tcW w:type="dxa" w:w="1440"/>
          </w:tcPr>
          <w:p>
            <w:pPr>
              <w:jc w:val="right"/>
            </w:pPr>
            <w:r/>
            <w:r>
              <w:rPr>
                <w:sz w:val="18"/>
              </w:rPr>
              <w:t>852</w:t>
            </w:r>
          </w:p>
        </w:tc>
        <w:tc>
          <w:tcPr>
            <w:tcW w:type="dxa" w:w="1440"/>
          </w:tcPr>
          <w:p>
            <w:pPr>
              <w:jc w:val="right"/>
            </w:pPr>
            <w:r/>
            <w:r>
              <w:rPr>
                <w:sz w:val="18"/>
              </w:rPr>
              <w:t>88.5 %</w:t>
            </w:r>
          </w:p>
        </w:tc>
        <w:tc>
          <w:tcPr>
            <w:tcW w:type="dxa" w:w="1440"/>
          </w:tcPr>
          <w:p>
            <w:pPr>
              <w:jc w:val="right"/>
            </w:pPr>
            <w:r/>
            <w:r>
              <w:rPr>
                <w:sz w:val="18"/>
              </w:rPr>
              <w:t>78.9 %</w:t>
            </w:r>
          </w:p>
        </w:tc>
        <w:tc>
          <w:tcPr>
            <w:tcW w:type="dxa" w:w="1440"/>
          </w:tcPr>
          <w:p>
            <w:pPr>
              <w:jc w:val="right"/>
            </w:pPr>
            <w:r/>
            <w:r>
              <w:rPr>
                <w:sz w:val="18"/>
              </w:rPr>
              <w:t>+164.9 %</w:t>
            </w:r>
          </w:p>
        </w:tc>
        <w:tc>
          <w:tcPr>
            <w:tcW w:type="dxa" w:w="1440"/>
          </w:tcPr>
          <w:p>
            <w:pPr>
              <w:jc w:val="right"/>
            </w:pPr>
            <w:r/>
            <w:r>
              <w:rPr>
                <w:sz w:val="18"/>
              </w:rPr>
              <w:t>+79.9 %</w:t>
            </w:r>
          </w:p>
        </w:tc>
        <w:tc>
          <w:tcPr>
            <w:tcW w:type="dxa" w:w="1440"/>
          </w:tcPr>
          <w:p>
            <w:pPr>
              <w:jc w:val="right"/>
            </w:pPr>
            <w:r/>
            <w:r>
              <w:rPr>
                <w:sz w:val="18"/>
              </w:rPr>
              <w:t>8.2 %</w:t>
            </w:r>
          </w:p>
        </w:tc>
      </w:tr>
      <w:tr>
        <w:tc>
          <w:tcPr>
            <w:tcW w:type="dxa" w:w="1440"/>
          </w:tcPr>
          <w:p>
            <w:pPr>
              <w:jc w:val="left"/>
            </w:pPr>
            <w:r/>
            <w:r>
              <w:rPr>
                <w:sz w:val="18"/>
              </w:rPr>
              <w:t>1955-1965</w:t>
            </w:r>
          </w:p>
        </w:tc>
        <w:tc>
          <w:tcPr>
            <w:tcW w:type="dxa" w:w="1440"/>
          </w:tcPr>
          <w:p>
            <w:pPr>
              <w:jc w:val="right"/>
            </w:pPr>
            <w:r/>
            <w:r>
              <w:rPr>
                <w:sz w:val="18"/>
              </w:rPr>
              <w:t>1,050</w:t>
            </w:r>
          </w:p>
        </w:tc>
        <w:tc>
          <w:tcPr>
            <w:tcW w:type="dxa" w:w="1440"/>
          </w:tcPr>
          <w:p>
            <w:pPr>
              <w:jc w:val="right"/>
            </w:pPr>
            <w:r/>
            <w:r>
              <w:rPr>
                <w:sz w:val="18"/>
              </w:rPr>
              <w:t>89.0 %</w:t>
            </w:r>
          </w:p>
        </w:tc>
        <w:tc>
          <w:tcPr>
            <w:tcW w:type="dxa" w:w="1440"/>
          </w:tcPr>
          <w:p>
            <w:pPr>
              <w:jc w:val="right"/>
            </w:pPr>
            <w:r/>
            <w:r>
              <w:rPr>
                <w:sz w:val="18"/>
              </w:rPr>
              <w:t>85.8 %</w:t>
            </w:r>
          </w:p>
        </w:tc>
        <w:tc>
          <w:tcPr>
            <w:tcW w:type="dxa" w:w="1440"/>
          </w:tcPr>
          <w:p>
            <w:pPr>
              <w:jc w:val="right"/>
            </w:pPr>
            <w:r/>
            <w:r>
              <w:rPr>
                <w:sz w:val="18"/>
              </w:rPr>
              <w:t>+152.9 %</w:t>
            </w:r>
          </w:p>
        </w:tc>
        <w:tc>
          <w:tcPr>
            <w:tcW w:type="dxa" w:w="1440"/>
          </w:tcPr>
          <w:p>
            <w:pPr>
              <w:jc w:val="right"/>
            </w:pPr>
            <w:r/>
            <w:r>
              <w:rPr>
                <w:sz w:val="18"/>
              </w:rPr>
              <w:t>+114.1 %</w:t>
            </w:r>
          </w:p>
        </w:tc>
        <w:tc>
          <w:tcPr>
            <w:tcW w:type="dxa" w:w="1440"/>
          </w:tcPr>
          <w:p>
            <w:pPr>
              <w:jc w:val="right"/>
            </w:pPr>
            <w:r/>
            <w:r>
              <w:rPr>
                <w:sz w:val="18"/>
              </w:rPr>
              <w:t>21.0 %</w:t>
            </w:r>
          </w:p>
        </w:tc>
      </w:tr>
      <w:tr>
        <w:tc>
          <w:tcPr>
            <w:tcW w:type="dxa" w:w="1440"/>
          </w:tcPr>
          <w:p>
            <w:pPr>
              <w:jc w:val="left"/>
            </w:pPr>
            <w:r/>
            <w:r>
              <w:rPr>
                <w:sz w:val="18"/>
              </w:rPr>
              <w:t>1965-1975</w:t>
            </w:r>
          </w:p>
        </w:tc>
        <w:tc>
          <w:tcPr>
            <w:tcW w:type="dxa" w:w="1440"/>
          </w:tcPr>
          <w:p>
            <w:pPr>
              <w:jc w:val="right"/>
            </w:pPr>
            <w:r/>
            <w:r>
              <w:rPr>
                <w:sz w:val="18"/>
              </w:rPr>
              <w:t>2,168</w:t>
            </w:r>
          </w:p>
        </w:tc>
        <w:tc>
          <w:tcPr>
            <w:tcW w:type="dxa" w:w="1440"/>
          </w:tcPr>
          <w:p>
            <w:pPr>
              <w:jc w:val="right"/>
            </w:pPr>
            <w:r/>
            <w:r>
              <w:rPr>
                <w:sz w:val="18"/>
              </w:rPr>
              <w:t>59.3 %</w:t>
            </w:r>
          </w:p>
        </w:tc>
        <w:tc>
          <w:tcPr>
            <w:tcW w:type="dxa" w:w="1440"/>
          </w:tcPr>
          <w:p>
            <w:pPr>
              <w:jc w:val="right"/>
            </w:pPr>
            <w:r/>
            <w:r>
              <w:rPr>
                <w:sz w:val="18"/>
              </w:rPr>
              <w:t>38.0 %</w:t>
            </w:r>
          </w:p>
        </w:tc>
        <w:tc>
          <w:tcPr>
            <w:tcW w:type="dxa" w:w="1440"/>
          </w:tcPr>
          <w:p>
            <w:pPr>
              <w:jc w:val="right"/>
            </w:pPr>
            <w:r/>
            <w:r>
              <w:rPr>
                <w:sz w:val="18"/>
              </w:rPr>
              <w:t>+16.8 %</w:t>
            </w:r>
          </w:p>
        </w:tc>
        <w:tc>
          <w:tcPr>
            <w:tcW w:type="dxa" w:w="1440"/>
          </w:tcPr>
          <w:p>
            <w:pPr>
              <w:jc w:val="right"/>
            </w:pPr>
            <w:r/>
            <w:r>
              <w:rPr>
                <w:sz w:val="18"/>
              </w:rPr>
              <w:t>-23.5 %</w:t>
            </w:r>
          </w:p>
        </w:tc>
        <w:tc>
          <w:tcPr>
            <w:tcW w:type="dxa" w:w="1440"/>
          </w:tcPr>
          <w:p>
            <w:pPr>
              <w:jc w:val="right"/>
            </w:pPr>
            <w:r/>
            <w:r>
              <w:rPr>
                <w:sz w:val="18"/>
              </w:rPr>
              <w:t>32.9 %</w:t>
            </w:r>
          </w:p>
        </w:tc>
      </w:tr>
      <w:tr>
        <w:tc>
          <w:tcPr>
            <w:tcW w:type="dxa" w:w="1440"/>
          </w:tcPr>
          <w:p>
            <w:pPr>
              <w:jc w:val="left"/>
            </w:pPr>
            <w:r/>
            <w:r>
              <w:rPr>
                <w:sz w:val="18"/>
              </w:rPr>
              <w:t>1975-1985</w:t>
            </w:r>
          </w:p>
        </w:tc>
        <w:tc>
          <w:tcPr>
            <w:tcW w:type="dxa" w:w="1440"/>
          </w:tcPr>
          <w:p>
            <w:pPr>
              <w:jc w:val="right"/>
            </w:pPr>
            <w:r/>
            <w:r>
              <w:rPr>
                <w:sz w:val="18"/>
              </w:rPr>
              <w:t>5,073</w:t>
            </w:r>
          </w:p>
        </w:tc>
        <w:tc>
          <w:tcPr>
            <w:tcW w:type="dxa" w:w="1440"/>
          </w:tcPr>
          <w:p>
            <w:pPr>
              <w:jc w:val="right"/>
            </w:pPr>
            <w:r/>
            <w:r>
              <w:rPr>
                <w:sz w:val="18"/>
              </w:rPr>
              <w:t>87.8 %</w:t>
            </w:r>
          </w:p>
        </w:tc>
        <w:tc>
          <w:tcPr>
            <w:tcW w:type="dxa" w:w="1440"/>
          </w:tcPr>
          <w:p>
            <w:pPr>
              <w:jc w:val="right"/>
            </w:pPr>
            <w:r/>
            <w:r>
              <w:rPr>
                <w:sz w:val="18"/>
              </w:rPr>
              <w:t>79.7 %</w:t>
            </w:r>
          </w:p>
        </w:tc>
        <w:tc>
          <w:tcPr>
            <w:tcW w:type="dxa" w:w="1440"/>
          </w:tcPr>
          <w:p>
            <w:pPr>
              <w:jc w:val="right"/>
            </w:pPr>
            <w:r/>
            <w:r>
              <w:rPr>
                <w:sz w:val="18"/>
              </w:rPr>
              <w:t>+295.5 %</w:t>
            </w:r>
          </w:p>
        </w:tc>
        <w:tc>
          <w:tcPr>
            <w:tcW w:type="dxa" w:w="1440"/>
          </w:tcPr>
          <w:p>
            <w:pPr>
              <w:jc w:val="right"/>
            </w:pPr>
            <w:r/>
            <w:r>
              <w:rPr>
                <w:sz w:val="18"/>
              </w:rPr>
              <w:t>+133.3 %</w:t>
            </w:r>
          </w:p>
        </w:tc>
        <w:tc>
          <w:tcPr>
            <w:tcW w:type="dxa" w:w="1440"/>
          </w:tcPr>
          <w:p>
            <w:pPr>
              <w:jc w:val="right"/>
            </w:pPr>
            <w:r/>
            <w:r>
              <w:rPr>
                <w:sz w:val="18"/>
              </w:rPr>
              <w:t>43.9 %</w:t>
            </w:r>
          </w:p>
        </w:tc>
      </w:tr>
      <w:tr>
        <w:tc>
          <w:tcPr>
            <w:tcW w:type="dxa" w:w="1440"/>
          </w:tcPr>
          <w:p>
            <w:pPr>
              <w:jc w:val="left"/>
            </w:pPr>
            <w:r/>
            <w:r>
              <w:rPr>
                <w:sz w:val="18"/>
              </w:rPr>
              <w:t>1985-1995</w:t>
            </w:r>
          </w:p>
        </w:tc>
        <w:tc>
          <w:tcPr>
            <w:tcW w:type="dxa" w:w="1440"/>
          </w:tcPr>
          <w:p>
            <w:pPr>
              <w:jc w:val="right"/>
            </w:pPr>
            <w:r/>
            <w:r>
              <w:rPr>
                <w:sz w:val="18"/>
              </w:rPr>
              <w:t>6,298</w:t>
            </w:r>
          </w:p>
        </w:tc>
        <w:tc>
          <w:tcPr>
            <w:tcW w:type="dxa" w:w="1440"/>
          </w:tcPr>
          <w:p>
            <w:pPr>
              <w:jc w:val="right"/>
            </w:pPr>
            <w:r/>
            <w:r>
              <w:rPr>
                <w:sz w:val="18"/>
              </w:rPr>
              <w:t>57.5 %</w:t>
            </w:r>
          </w:p>
        </w:tc>
        <w:tc>
          <w:tcPr>
            <w:tcW w:type="dxa" w:w="1440"/>
          </w:tcPr>
          <w:p>
            <w:pPr>
              <w:jc w:val="right"/>
            </w:pPr>
            <w:r/>
            <w:r>
              <w:rPr>
                <w:sz w:val="18"/>
              </w:rPr>
              <w:t>52.1 %</w:t>
            </w:r>
          </w:p>
        </w:tc>
        <w:tc>
          <w:tcPr>
            <w:tcW w:type="dxa" w:w="1440"/>
          </w:tcPr>
          <w:p>
            <w:pPr>
              <w:jc w:val="right"/>
            </w:pPr>
            <w:r/>
            <w:r>
              <w:rPr>
                <w:sz w:val="18"/>
              </w:rPr>
              <w:t>+24.7 %</w:t>
            </w:r>
          </w:p>
        </w:tc>
        <w:tc>
          <w:tcPr>
            <w:tcW w:type="dxa" w:w="1440"/>
          </w:tcPr>
          <w:p>
            <w:pPr>
              <w:jc w:val="right"/>
            </w:pPr>
            <w:r/>
            <w:r>
              <w:rPr>
                <w:sz w:val="18"/>
              </w:rPr>
              <w:t>+6.6 %</w:t>
            </w:r>
          </w:p>
        </w:tc>
        <w:tc>
          <w:tcPr>
            <w:tcW w:type="dxa" w:w="1440"/>
          </w:tcPr>
          <w:p>
            <w:pPr>
              <w:jc w:val="right"/>
            </w:pPr>
            <w:r/>
            <w:r>
              <w:rPr>
                <w:sz w:val="18"/>
              </w:rPr>
              <w:t>54.6 %</w:t>
            </w:r>
          </w:p>
        </w:tc>
      </w:tr>
      <w:tr>
        <w:tc>
          <w:tcPr>
            <w:tcW w:type="dxa" w:w="1440"/>
          </w:tcPr>
          <w:p>
            <w:pPr>
              <w:jc w:val="left"/>
            </w:pPr>
            <w:r/>
            <w:r>
              <w:rPr>
                <w:sz w:val="18"/>
              </w:rPr>
              <w:t>1995-2005</w:t>
            </w:r>
          </w:p>
        </w:tc>
        <w:tc>
          <w:tcPr>
            <w:tcW w:type="dxa" w:w="1440"/>
          </w:tcPr>
          <w:p>
            <w:pPr>
              <w:jc w:val="right"/>
            </w:pPr>
            <w:r/>
            <w:r>
              <w:rPr>
                <w:sz w:val="18"/>
              </w:rPr>
              <w:t>7,835</w:t>
            </w:r>
          </w:p>
        </w:tc>
        <w:tc>
          <w:tcPr>
            <w:tcW w:type="dxa" w:w="1440"/>
          </w:tcPr>
          <w:p>
            <w:pPr>
              <w:jc w:val="right"/>
            </w:pPr>
            <w:r/>
            <w:r>
              <w:rPr>
                <w:sz w:val="18"/>
              </w:rPr>
              <w:t>60.8 %</w:t>
            </w:r>
          </w:p>
        </w:tc>
        <w:tc>
          <w:tcPr>
            <w:tcW w:type="dxa" w:w="1440"/>
          </w:tcPr>
          <w:p>
            <w:pPr>
              <w:jc w:val="right"/>
            </w:pPr>
            <w:r/>
            <w:r>
              <w:rPr>
                <w:sz w:val="18"/>
              </w:rPr>
              <w:t>56.9 %</w:t>
            </w:r>
          </w:p>
        </w:tc>
        <w:tc>
          <w:tcPr>
            <w:tcW w:type="dxa" w:w="1440"/>
          </w:tcPr>
          <w:p>
            <w:pPr>
              <w:jc w:val="right"/>
            </w:pPr>
            <w:r/>
            <w:r>
              <w:rPr>
                <w:sz w:val="18"/>
              </w:rPr>
              <w:t>+37.5 %</w:t>
            </w:r>
          </w:p>
        </w:tc>
        <w:tc>
          <w:tcPr>
            <w:tcW w:type="dxa" w:w="1440"/>
          </w:tcPr>
          <w:p>
            <w:pPr>
              <w:jc w:val="right"/>
            </w:pPr>
            <w:r/>
            <w:r>
              <w:rPr>
                <w:sz w:val="18"/>
              </w:rPr>
              <w:t>+21.1 %</w:t>
            </w:r>
          </w:p>
        </w:tc>
        <w:tc>
          <w:tcPr>
            <w:tcW w:type="dxa" w:w="1440"/>
          </w:tcPr>
          <w:p>
            <w:pPr>
              <w:jc w:val="right"/>
            </w:pPr>
            <w:r/>
            <w:r>
              <w:rPr>
                <w:sz w:val="18"/>
              </w:rPr>
              <w:t>61.6 %</w:t>
            </w:r>
          </w:p>
        </w:tc>
      </w:tr>
      <w:tr>
        <w:tc>
          <w:tcPr>
            <w:tcW w:type="dxa" w:w="1440"/>
          </w:tcPr>
          <w:p>
            <w:pPr>
              <w:jc w:val="left"/>
            </w:pPr>
            <w:r/>
            <w:r>
              <w:rPr>
                <w:sz w:val="18"/>
              </w:rPr>
              <w:t>2005-2015</w:t>
            </w:r>
          </w:p>
        </w:tc>
        <w:tc>
          <w:tcPr>
            <w:tcW w:type="dxa" w:w="1440"/>
          </w:tcPr>
          <w:p>
            <w:pPr>
              <w:jc w:val="right"/>
            </w:pPr>
            <w:r/>
            <w:r>
              <w:rPr>
                <w:sz w:val="18"/>
              </w:rPr>
              <w:t>5,830</w:t>
            </w:r>
          </w:p>
        </w:tc>
        <w:tc>
          <w:tcPr>
            <w:tcW w:type="dxa" w:w="1440"/>
          </w:tcPr>
          <w:p>
            <w:pPr>
              <w:jc w:val="right"/>
            </w:pPr>
            <w:r/>
            <w:r>
              <w:rPr>
                <w:sz w:val="18"/>
              </w:rPr>
              <w:t>55.5 %</w:t>
            </w:r>
          </w:p>
        </w:tc>
        <w:tc>
          <w:tcPr>
            <w:tcW w:type="dxa" w:w="1440"/>
          </w:tcPr>
          <w:p>
            <w:pPr>
              <w:jc w:val="right"/>
            </w:pPr>
            <w:r/>
            <w:r>
              <w:rPr>
                <w:sz w:val="18"/>
              </w:rPr>
              <w:t>50.7 %</w:t>
            </w:r>
          </w:p>
        </w:tc>
        <w:tc>
          <w:tcPr>
            <w:tcW w:type="dxa" w:w="1440"/>
          </w:tcPr>
          <w:p>
            <w:pPr>
              <w:jc w:val="right"/>
            </w:pPr>
            <w:r/>
            <w:r>
              <w:rPr>
                <w:sz w:val="18"/>
              </w:rPr>
              <w:t>+12.0 %</w:t>
            </w:r>
          </w:p>
        </w:tc>
        <w:tc>
          <w:tcPr>
            <w:tcW w:type="dxa" w:w="1440"/>
          </w:tcPr>
          <w:p>
            <w:pPr>
              <w:jc w:val="right"/>
            </w:pPr>
            <w:r/>
            <w:r>
              <w:rPr>
                <w:sz w:val="18"/>
              </w:rPr>
              <w:t>+0.8 %</w:t>
            </w:r>
          </w:p>
        </w:tc>
        <w:tc>
          <w:tcPr>
            <w:tcW w:type="dxa" w:w="1440"/>
          </w:tcPr>
          <w:p>
            <w:pPr>
              <w:jc w:val="right"/>
            </w:pPr>
            <w:r/>
            <w:r>
              <w:rPr>
                <w:sz w:val="18"/>
              </w:rPr>
              <w:t>50.6 %</w:t>
            </w:r>
          </w:p>
        </w:tc>
      </w:tr>
      <w:tr>
        <w:tc>
          <w:tcPr>
            <w:tcW w:type="dxa" w:w="1440"/>
          </w:tcPr>
          <w:p>
            <w:pPr>
              <w:jc w:val="left"/>
            </w:pPr>
            <w:r/>
            <w:r>
              <w:rPr>
                <w:sz w:val="18"/>
              </w:rPr>
              <w:t>2015-2025</w:t>
            </w:r>
          </w:p>
        </w:tc>
        <w:tc>
          <w:tcPr>
            <w:tcW w:type="dxa" w:w="1440"/>
          </w:tcPr>
          <w:p>
            <w:pPr>
              <w:jc w:val="right"/>
            </w:pPr>
            <w:r/>
            <w:r>
              <w:rPr>
                <w:sz w:val="18"/>
              </w:rPr>
              <w:t>4,836</w:t>
            </w:r>
          </w:p>
        </w:tc>
        <w:tc>
          <w:tcPr>
            <w:tcW w:type="dxa" w:w="1440"/>
          </w:tcPr>
          <w:p>
            <w:pPr>
              <w:jc w:val="right"/>
            </w:pPr>
            <w:r/>
            <w:r>
              <w:rPr>
                <w:sz w:val="18"/>
              </w:rPr>
              <w:t>62.2 %</w:t>
            </w:r>
          </w:p>
        </w:tc>
        <w:tc>
          <w:tcPr>
            <w:tcW w:type="dxa" w:w="1440"/>
          </w:tcPr>
          <w:p>
            <w:pPr>
              <w:jc w:val="right"/>
            </w:pPr>
            <w:r/>
            <w:r>
              <w:rPr>
                <w:sz w:val="18"/>
              </w:rPr>
              <w:t>56.8 %</w:t>
            </w:r>
          </w:p>
        </w:tc>
        <w:tc>
          <w:tcPr>
            <w:tcW w:type="dxa" w:w="1440"/>
          </w:tcPr>
          <w:p>
            <w:pPr>
              <w:jc w:val="right"/>
            </w:pPr>
            <w:r/>
            <w:r>
              <w:rPr>
                <w:sz w:val="18"/>
              </w:rPr>
              <w:t>+38.7 %</w:t>
            </w:r>
          </w:p>
        </w:tc>
        <w:tc>
          <w:tcPr>
            <w:tcW w:type="dxa" w:w="1440"/>
          </w:tcPr>
          <w:p>
            <w:pPr>
              <w:jc w:val="right"/>
            </w:pPr>
            <w:r/>
            <w:r>
              <w:rPr>
                <w:sz w:val="18"/>
              </w:rPr>
              <w:t>+17.6 %</w:t>
            </w:r>
          </w:p>
        </w:tc>
        <w:tc>
          <w:tcPr>
            <w:tcW w:type="dxa" w:w="1440"/>
          </w:tcPr>
          <w:p>
            <w:pPr>
              <w:jc w:val="right"/>
            </w:pPr>
            <w:r/>
            <w:r>
              <w:rPr>
                <w:sz w:val="18"/>
              </w:rPr>
              <w:t>45.6 %</w:t>
            </w:r>
          </w:p>
        </w:tc>
      </w:tr>
    </w:tbl>
    <w:p>
      <w:pPr>
        <w:jc w:val="center"/>
      </w:pPr>
      <w:r>
        <w:drawing>
          <wp:inline xmlns:a="http://schemas.openxmlformats.org/drawingml/2006/main" xmlns:pic="http://schemas.openxmlformats.org/drawingml/2006/picture">
            <wp:extent cx="6217920" cy="2590800"/>
            <wp:docPr id="5" name="Picture 5"/>
            <wp:cNvGraphicFramePr>
              <a:graphicFrameLocks noChangeAspect="1"/>
            </wp:cNvGraphicFramePr>
            <a:graphic>
              <a:graphicData uri="http://schemas.openxmlformats.org/drawingml/2006/picture">
                <pic:pic>
                  <pic:nvPicPr>
                    <pic:cNvPr id="0" name="calendar_pct_positive_10y.png"/>
                    <pic:cNvPicPr/>
                  </pic:nvPicPr>
                  <pic:blipFill>
                    <a:blip r:embed="rId13"/>
                    <a:stretch>
                      <a:fillRect/>
                    </a:stretch>
                  </pic:blipFill>
                  <pic:spPr>
                    <a:xfrm>
                      <a:off x="0" y="0"/>
                      <a:ext cx="6217920" cy="2590800"/>
                    </a:xfrm>
                    <a:prstGeom prst="rect"/>
                  </pic:spPr>
                </pic:pic>
              </a:graphicData>
            </a:graphic>
          </wp:inline>
        </w:drawing>
      </w:r>
    </w:p>
    <w:p>
      <w:pPr>
        <w:pStyle w:val="Heading2"/>
      </w:pPr>
      <w:r>
        <w:rPr>
          <w:color w:val="1A365D"/>
        </w:rPr>
        <w:t>30-Year Windows</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gridCol w:w="1440"/>
      </w:tblGrid>
      <w:tr>
        <w:tc>
          <w:tcPr>
            <w:tcW w:type="dxa" w:w="1440"/>
            <w:shd w:val="clear" w:color="auto" w:fill="E2E8F0"/>
          </w:tcPr>
          <w:p>
            <w:pPr>
              <w:jc w:val="center"/>
            </w:pPr>
            <w:r/>
            <w:r>
              <w:rPr>
                <w:b/>
                <w:sz w:val="18"/>
              </w:rPr>
              <w:t>Window</w:t>
            </w:r>
          </w:p>
        </w:tc>
        <w:tc>
          <w:tcPr>
            <w:tcW w:type="dxa" w:w="1440"/>
            <w:shd w:val="clear" w:color="auto" w:fill="E2E8F0"/>
          </w:tcPr>
          <w:p>
            <w:pPr>
              <w:jc w:val="center"/>
            </w:pPr>
            <w:r/>
            <w:r>
              <w:rPr>
                <w:b/>
                <w:sz w:val="18"/>
              </w:rPr>
              <w:t>N</w:t>
            </w:r>
          </w:p>
        </w:tc>
        <w:tc>
          <w:tcPr>
            <w:tcW w:type="dxa" w:w="1440"/>
            <w:shd w:val="clear" w:color="auto" w:fill="E2E8F0"/>
          </w:tcPr>
          <w:p>
            <w:pPr>
              <w:jc w:val="center"/>
            </w:pPr>
            <w:r/>
            <w:r>
              <w:rPr>
                <w:b/>
                <w:sz w:val="18"/>
              </w:rPr>
              <w:t>% positive nominal</w:t>
            </w:r>
          </w:p>
        </w:tc>
        <w:tc>
          <w:tcPr>
            <w:tcW w:type="dxa" w:w="1440"/>
            <w:shd w:val="clear" w:color="auto" w:fill="E2E8F0"/>
          </w:tcPr>
          <w:p>
            <w:pPr>
              <w:jc w:val="center"/>
            </w:pPr>
            <w:r/>
            <w:r>
              <w:rPr>
                <w:b/>
                <w:sz w:val="18"/>
              </w:rPr>
              <w:t>% positive real</w:t>
            </w:r>
          </w:p>
        </w:tc>
        <w:tc>
          <w:tcPr>
            <w:tcW w:type="dxa" w:w="1440"/>
            <w:shd w:val="clear" w:color="auto" w:fill="E2E8F0"/>
          </w:tcPr>
          <w:p>
            <w:pPr>
              <w:jc w:val="center"/>
            </w:pPr>
            <w:r/>
            <w:r>
              <w:rPr>
                <w:b/>
                <w:sz w:val="18"/>
              </w:rPr>
              <w:t>Median nominal</w:t>
            </w:r>
          </w:p>
        </w:tc>
        <w:tc>
          <w:tcPr>
            <w:tcW w:type="dxa" w:w="1440"/>
            <w:shd w:val="clear" w:color="auto" w:fill="E2E8F0"/>
          </w:tcPr>
          <w:p>
            <w:pPr>
              <w:jc w:val="center"/>
            </w:pPr>
            <w:r/>
            <w:r>
              <w:rPr>
                <w:b/>
                <w:sz w:val="18"/>
              </w:rPr>
              <w:t>Median real</w:t>
            </w:r>
          </w:p>
        </w:tc>
        <w:tc>
          <w:tcPr>
            <w:tcW w:type="dxa" w:w="1440"/>
            <w:shd w:val="clear" w:color="auto" w:fill="E2E8F0"/>
          </w:tcPr>
          <w:p>
            <w:pPr>
              <w:jc w:val="center"/>
            </w:pPr>
            <w:r/>
            <w:r>
              <w:rPr>
                <w:b/>
                <w:sz w:val="18"/>
              </w:rPr>
              <w:t>% delisted</w:t>
            </w:r>
          </w:p>
        </w:tc>
      </w:tr>
      <w:tr>
        <w:tc>
          <w:tcPr>
            <w:tcW w:type="dxa" w:w="1440"/>
          </w:tcPr>
          <w:p>
            <w:pPr>
              <w:jc w:val="left"/>
            </w:pPr>
            <w:r/>
            <w:r>
              <w:rPr>
                <w:sz w:val="18"/>
              </w:rPr>
              <w:t>1925-1955</w:t>
            </w:r>
          </w:p>
        </w:tc>
        <w:tc>
          <w:tcPr>
            <w:tcW w:type="dxa" w:w="1440"/>
          </w:tcPr>
          <w:p>
            <w:pPr>
              <w:jc w:val="right"/>
            </w:pPr>
            <w:r/>
            <w:r>
              <w:rPr>
                <w:sz w:val="18"/>
              </w:rPr>
              <w:t>508</w:t>
            </w:r>
          </w:p>
        </w:tc>
        <w:tc>
          <w:tcPr>
            <w:tcW w:type="dxa" w:w="1440"/>
          </w:tcPr>
          <w:p>
            <w:pPr>
              <w:jc w:val="right"/>
            </w:pPr>
            <w:r/>
            <w:r>
              <w:rPr>
                <w:sz w:val="18"/>
              </w:rPr>
              <w:t>67.1 %</w:t>
            </w:r>
          </w:p>
        </w:tc>
        <w:tc>
          <w:tcPr>
            <w:tcW w:type="dxa" w:w="1440"/>
          </w:tcPr>
          <w:p>
            <w:pPr>
              <w:jc w:val="right"/>
            </w:pPr>
            <w:r/>
            <w:r>
              <w:rPr>
                <w:sz w:val="18"/>
              </w:rPr>
              <w:t>67.9 %</w:t>
            </w:r>
          </w:p>
        </w:tc>
        <w:tc>
          <w:tcPr>
            <w:tcW w:type="dxa" w:w="1440"/>
          </w:tcPr>
          <w:p>
            <w:pPr>
              <w:jc w:val="right"/>
            </w:pPr>
            <w:r/>
            <w:r>
              <w:rPr>
                <w:sz w:val="18"/>
              </w:rPr>
              <w:t>+170.5 %</w:t>
            </w:r>
          </w:p>
        </w:tc>
        <w:tc>
          <w:tcPr>
            <w:tcW w:type="dxa" w:w="1440"/>
          </w:tcPr>
          <w:p>
            <w:pPr>
              <w:jc w:val="right"/>
            </w:pPr>
            <w:r/>
            <w:r>
              <w:rPr>
                <w:sz w:val="18"/>
              </w:rPr>
              <w:t>+126.1 %</w:t>
            </w:r>
          </w:p>
        </w:tc>
        <w:tc>
          <w:tcPr>
            <w:tcW w:type="dxa" w:w="1440"/>
          </w:tcPr>
          <w:p>
            <w:pPr>
              <w:jc w:val="right"/>
            </w:pPr>
            <w:r/>
            <w:r>
              <w:rPr>
                <w:sz w:val="18"/>
              </w:rPr>
              <w:t>39.6 %</w:t>
            </w:r>
          </w:p>
        </w:tc>
      </w:tr>
      <w:tr>
        <w:tc>
          <w:tcPr>
            <w:tcW w:type="dxa" w:w="1440"/>
          </w:tcPr>
          <w:p>
            <w:pPr>
              <w:jc w:val="left"/>
            </w:pPr>
            <w:r/>
            <w:r>
              <w:rPr>
                <w:sz w:val="18"/>
              </w:rPr>
              <w:t>1955-1985</w:t>
            </w:r>
          </w:p>
        </w:tc>
        <w:tc>
          <w:tcPr>
            <w:tcW w:type="dxa" w:w="1440"/>
          </w:tcPr>
          <w:p>
            <w:pPr>
              <w:jc w:val="right"/>
            </w:pPr>
            <w:r/>
            <w:r>
              <w:rPr>
                <w:sz w:val="18"/>
              </w:rPr>
              <w:t>1,050</w:t>
            </w:r>
          </w:p>
        </w:tc>
        <w:tc>
          <w:tcPr>
            <w:tcW w:type="dxa" w:w="1440"/>
          </w:tcPr>
          <w:p>
            <w:pPr>
              <w:jc w:val="right"/>
            </w:pPr>
            <w:r/>
            <w:r>
              <w:rPr>
                <w:sz w:val="18"/>
              </w:rPr>
              <w:t>88.2 %</w:t>
            </w:r>
          </w:p>
        </w:tc>
        <w:tc>
          <w:tcPr>
            <w:tcW w:type="dxa" w:w="1440"/>
          </w:tcPr>
          <w:p>
            <w:pPr>
              <w:jc w:val="right"/>
            </w:pPr>
            <w:r/>
            <w:r>
              <w:rPr>
                <w:sz w:val="18"/>
              </w:rPr>
              <w:t>79.8 %</w:t>
            </w:r>
          </w:p>
        </w:tc>
        <w:tc>
          <w:tcPr>
            <w:tcW w:type="dxa" w:w="1440"/>
          </w:tcPr>
          <w:p>
            <w:pPr>
              <w:jc w:val="right"/>
            </w:pPr>
            <w:r/>
            <w:r>
              <w:rPr>
                <w:sz w:val="18"/>
              </w:rPr>
              <w:t>+451.4 %</w:t>
            </w:r>
          </w:p>
        </w:tc>
        <w:tc>
          <w:tcPr>
            <w:tcW w:type="dxa" w:w="1440"/>
          </w:tcPr>
          <w:p>
            <w:pPr>
              <w:jc w:val="right"/>
            </w:pPr>
            <w:r/>
            <w:r>
              <w:rPr>
                <w:sz w:val="18"/>
              </w:rPr>
              <w:t>+160.4 %</w:t>
            </w:r>
          </w:p>
        </w:tc>
        <w:tc>
          <w:tcPr>
            <w:tcW w:type="dxa" w:w="1440"/>
          </w:tcPr>
          <w:p>
            <w:pPr>
              <w:jc w:val="right"/>
            </w:pPr>
            <w:r/>
            <w:r>
              <w:rPr>
                <w:sz w:val="18"/>
              </w:rPr>
              <w:t>59.0 %</w:t>
            </w:r>
          </w:p>
        </w:tc>
      </w:tr>
      <w:tr>
        <w:tc>
          <w:tcPr>
            <w:tcW w:type="dxa" w:w="1440"/>
          </w:tcPr>
          <w:p>
            <w:pPr>
              <w:jc w:val="left"/>
            </w:pPr>
            <w:r/>
            <w:r>
              <w:rPr>
                <w:sz w:val="18"/>
              </w:rPr>
              <w:t>1985-2015</w:t>
            </w:r>
          </w:p>
        </w:tc>
        <w:tc>
          <w:tcPr>
            <w:tcW w:type="dxa" w:w="1440"/>
          </w:tcPr>
          <w:p>
            <w:pPr>
              <w:jc w:val="right"/>
            </w:pPr>
            <w:r/>
            <w:r>
              <w:rPr>
                <w:sz w:val="18"/>
              </w:rPr>
              <w:t>6,298</w:t>
            </w:r>
          </w:p>
        </w:tc>
        <w:tc>
          <w:tcPr>
            <w:tcW w:type="dxa" w:w="1440"/>
          </w:tcPr>
          <w:p>
            <w:pPr>
              <w:jc w:val="right"/>
            </w:pPr>
            <w:r/>
            <w:r>
              <w:rPr>
                <w:sz w:val="18"/>
              </w:rPr>
              <w:t>56.1 %</w:t>
            </w:r>
          </w:p>
        </w:tc>
        <w:tc>
          <w:tcPr>
            <w:tcW w:type="dxa" w:w="1440"/>
          </w:tcPr>
          <w:p>
            <w:pPr>
              <w:jc w:val="right"/>
            </w:pPr>
            <w:r/>
            <w:r>
              <w:rPr>
                <w:sz w:val="18"/>
              </w:rPr>
              <w:t>51.8 %</w:t>
            </w:r>
          </w:p>
        </w:tc>
        <w:tc>
          <w:tcPr>
            <w:tcW w:type="dxa" w:w="1440"/>
          </w:tcPr>
          <w:p>
            <w:pPr>
              <w:jc w:val="right"/>
            </w:pPr>
            <w:r/>
            <w:r>
              <w:rPr>
                <w:sz w:val="18"/>
              </w:rPr>
              <w:t>+25.0 %</w:t>
            </w:r>
          </w:p>
        </w:tc>
        <w:tc>
          <w:tcPr>
            <w:tcW w:type="dxa" w:w="1440"/>
          </w:tcPr>
          <w:p>
            <w:pPr>
              <w:jc w:val="right"/>
            </w:pPr>
            <w:r/>
            <w:r>
              <w:rPr>
                <w:sz w:val="18"/>
              </w:rPr>
              <w:t>+5.8 %</w:t>
            </w:r>
          </w:p>
        </w:tc>
        <w:tc>
          <w:tcPr>
            <w:tcW w:type="dxa" w:w="1440"/>
          </w:tcPr>
          <w:p>
            <w:pPr>
              <w:jc w:val="right"/>
            </w:pPr>
            <w:r/>
            <w:r>
              <w:rPr>
                <w:sz w:val="18"/>
              </w:rPr>
              <w:t>87.0 %</w:t>
            </w:r>
          </w:p>
        </w:tc>
      </w:tr>
    </w:tbl>
    <w:p>
      <w:pPr>
        <w:jc w:val="center"/>
      </w:pPr>
      <w:r>
        <w:drawing>
          <wp:inline xmlns:a="http://schemas.openxmlformats.org/drawingml/2006/main" xmlns:pic="http://schemas.openxmlformats.org/drawingml/2006/picture">
            <wp:extent cx="6217920" cy="2590800"/>
            <wp:docPr id="6" name="Picture 6"/>
            <wp:cNvGraphicFramePr>
              <a:graphicFrameLocks noChangeAspect="1"/>
            </wp:cNvGraphicFramePr>
            <a:graphic>
              <a:graphicData uri="http://schemas.openxmlformats.org/drawingml/2006/picture">
                <pic:pic>
                  <pic:nvPicPr>
                    <pic:cNvPr id="0" name="calendar_pct_positive_30y.png"/>
                    <pic:cNvPicPr/>
                  </pic:nvPicPr>
                  <pic:blipFill>
                    <a:blip r:embed="rId14"/>
                    <a:stretch>
                      <a:fillRect/>
                    </a:stretch>
                  </pic:blipFill>
                  <pic:spPr>
                    <a:xfrm>
                      <a:off x="0" y="0"/>
                      <a:ext cx="6217920" cy="2590800"/>
                    </a:xfrm>
                    <a:prstGeom prst="rect"/>
                  </pic:spPr>
                </pic:pic>
              </a:graphicData>
            </a:graphic>
          </wp:inline>
        </w:drawing>
      </w:r>
    </w:p>
    <w:p>
      <w:pPr>
        <w:pStyle w:val="Heading1"/>
      </w:pPr>
      <w:r>
        <w:rPr>
          <w:color w:val="1A365D"/>
        </w:rPr>
        <w:t>5. Full-Life Results</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gridCol w:w="1440"/>
      </w:tblGrid>
      <w:tr>
        <w:tc>
          <w:tcPr>
            <w:tcW w:type="dxa" w:w="1440"/>
            <w:shd w:val="clear" w:color="auto" w:fill="E2E8F0"/>
          </w:tcPr>
          <w:p>
            <w:pPr>
              <w:jc w:val="center"/>
            </w:pPr>
            <w:r/>
            <w:r>
              <w:rPr>
                <w:b/>
                <w:sz w:val="18"/>
              </w:rPr>
              <w:t>Basis</w:t>
            </w:r>
          </w:p>
        </w:tc>
        <w:tc>
          <w:tcPr>
            <w:tcW w:type="dxa" w:w="1440"/>
            <w:shd w:val="clear" w:color="auto" w:fill="E2E8F0"/>
          </w:tcPr>
          <w:p>
            <w:pPr>
              <w:jc w:val="center"/>
            </w:pPr>
            <w:r/>
            <w:r>
              <w:rPr>
                <w:b/>
                <w:sz w:val="18"/>
              </w:rPr>
              <w:t>Stocks</w:t>
            </w:r>
          </w:p>
        </w:tc>
        <w:tc>
          <w:tcPr>
            <w:tcW w:type="dxa" w:w="1440"/>
            <w:shd w:val="clear" w:color="auto" w:fill="E2E8F0"/>
          </w:tcPr>
          <w:p>
            <w:pPr>
              <w:jc w:val="center"/>
            </w:pPr>
            <w:r/>
            <w:r>
              <w:rPr>
                <w:b/>
                <w:sz w:val="18"/>
              </w:rPr>
              <w:t>% positive</w:t>
            </w:r>
          </w:p>
        </w:tc>
        <w:tc>
          <w:tcPr>
            <w:tcW w:type="dxa" w:w="1440"/>
            <w:shd w:val="clear" w:color="auto" w:fill="E2E8F0"/>
          </w:tcPr>
          <w:p>
            <w:pPr>
              <w:jc w:val="center"/>
            </w:pPr>
            <w:r/>
            <w:r>
              <w:rPr>
                <w:b/>
                <w:sz w:val="18"/>
              </w:rPr>
              <w:t>Median</w:t>
            </w:r>
          </w:p>
        </w:tc>
        <w:tc>
          <w:tcPr>
            <w:tcW w:type="dxa" w:w="1440"/>
            <w:shd w:val="clear" w:color="auto" w:fill="E2E8F0"/>
          </w:tcPr>
          <w:p>
            <w:pPr>
              <w:jc w:val="center"/>
            </w:pPr>
            <w:r/>
            <w:r>
              <w:rPr>
                <w:b/>
                <w:sz w:val="18"/>
              </w:rPr>
              <w:t>Mean multiple</w:t>
            </w:r>
          </w:p>
        </w:tc>
        <w:tc>
          <w:tcPr>
            <w:tcW w:type="dxa" w:w="1440"/>
            <w:shd w:val="clear" w:color="auto" w:fill="E2E8F0"/>
          </w:tcPr>
          <w:p>
            <w:pPr>
              <w:jc w:val="center"/>
            </w:pPr>
            <w:r/>
            <w:r>
              <w:rPr>
                <w:b/>
                <w:sz w:val="18"/>
              </w:rPr>
              <w:t>Max multiple</w:t>
            </w:r>
          </w:p>
        </w:tc>
        <w:tc>
          <w:tcPr>
            <w:tcW w:type="dxa" w:w="1440"/>
            <w:shd w:val="clear" w:color="auto" w:fill="E2E8F0"/>
          </w:tcPr>
          <w:p>
            <w:pPr>
              <w:jc w:val="center"/>
            </w:pPr>
            <w:r/>
            <w:r>
              <w:rPr>
                <w:b/>
                <w:sz w:val="18"/>
              </w:rPr>
              <w:t>% sparse</w:t>
            </w:r>
          </w:p>
        </w:tc>
      </w:tr>
      <w:tr>
        <w:tc>
          <w:tcPr>
            <w:tcW w:type="dxa" w:w="1440"/>
          </w:tcPr>
          <w:p>
            <w:pPr>
              <w:jc w:val="left"/>
            </w:pPr>
            <w:r/>
            <w:r>
              <w:rPr>
                <w:sz w:val="18"/>
              </w:rPr>
              <w:t>nominal</w:t>
            </w:r>
          </w:p>
        </w:tc>
        <w:tc>
          <w:tcPr>
            <w:tcW w:type="dxa" w:w="1440"/>
          </w:tcPr>
          <w:p>
            <w:pPr>
              <w:jc w:val="right"/>
            </w:pPr>
            <w:r/>
            <w:r>
              <w:rPr>
                <w:sz w:val="18"/>
              </w:rPr>
              <w:t>31,565</w:t>
            </w:r>
          </w:p>
        </w:tc>
        <w:tc>
          <w:tcPr>
            <w:tcW w:type="dxa" w:w="1440"/>
          </w:tcPr>
          <w:p>
            <w:pPr>
              <w:jc w:val="right"/>
            </w:pPr>
            <w:r/>
            <w:r>
              <w:rPr>
                <w:sz w:val="18"/>
              </w:rPr>
              <w:t>48.1 %</w:t>
            </w:r>
          </w:p>
        </w:tc>
        <w:tc>
          <w:tcPr>
            <w:tcW w:type="dxa" w:w="1440"/>
          </w:tcPr>
          <w:p>
            <w:pPr>
              <w:jc w:val="right"/>
            </w:pPr>
            <w:r/>
            <w:r>
              <w:rPr>
                <w:sz w:val="18"/>
              </w:rPr>
              <w:t>-7.4 %</w:t>
            </w:r>
          </w:p>
        </w:tc>
        <w:tc>
          <w:tcPr>
            <w:tcW w:type="dxa" w:w="1440"/>
          </w:tcPr>
          <w:p>
            <w:pPr>
              <w:jc w:val="right"/>
            </w:pPr>
            <w:r/>
            <w:r>
              <w:rPr>
                <w:sz w:val="18"/>
              </w:rPr>
              <w:t>295x</w:t>
            </w:r>
          </w:p>
        </w:tc>
        <w:tc>
          <w:tcPr>
            <w:tcW w:type="dxa" w:w="1440"/>
          </w:tcPr>
          <w:p>
            <w:pPr>
              <w:jc w:val="right"/>
            </w:pPr>
            <w:r/>
            <w:r>
              <w:rPr>
                <w:sz w:val="18"/>
              </w:rPr>
              <w:t>4,421,137x</w:t>
            </w:r>
          </w:p>
        </w:tc>
        <w:tc>
          <w:tcPr>
            <w:tcW w:type="dxa" w:w="1440"/>
          </w:tcPr>
          <w:p>
            <w:pPr>
              <w:jc w:val="right"/>
            </w:pPr>
            <w:r/>
            <w:r>
              <w:rPr>
                <w:sz w:val="18"/>
              </w:rPr>
              <w:t>0.022 %</w:t>
            </w:r>
          </w:p>
        </w:tc>
      </w:tr>
      <w:tr>
        <w:tc>
          <w:tcPr>
            <w:tcW w:type="dxa" w:w="1440"/>
          </w:tcPr>
          <w:p>
            <w:pPr>
              <w:jc w:val="left"/>
            </w:pPr>
            <w:r/>
            <w:r>
              <w:rPr>
                <w:sz w:val="18"/>
              </w:rPr>
              <w:t>real (CPI-adj)</w:t>
            </w:r>
          </w:p>
        </w:tc>
        <w:tc>
          <w:tcPr>
            <w:tcW w:type="dxa" w:w="1440"/>
          </w:tcPr>
          <w:p>
            <w:pPr>
              <w:jc w:val="right"/>
            </w:pPr>
            <w:r/>
            <w:r>
              <w:rPr>
                <w:sz w:val="18"/>
              </w:rPr>
              <w:t>31,565</w:t>
            </w:r>
          </w:p>
        </w:tc>
        <w:tc>
          <w:tcPr>
            <w:tcW w:type="dxa" w:w="1440"/>
          </w:tcPr>
          <w:p>
            <w:pPr>
              <w:jc w:val="right"/>
            </w:pPr>
            <w:r/>
            <w:r>
              <w:rPr>
                <w:sz w:val="18"/>
              </w:rPr>
              <w:t>41.3 %</w:t>
            </w:r>
          </w:p>
        </w:tc>
        <w:tc>
          <w:tcPr>
            <w:tcW w:type="dxa" w:w="1440"/>
          </w:tcPr>
          <w:p>
            <w:pPr>
              <w:jc w:val="right"/>
            </w:pPr>
            <w:r/>
            <w:r>
              <w:rPr>
                <w:sz w:val="18"/>
              </w:rPr>
              <w:t>-29.3 %</w:t>
            </w:r>
          </w:p>
        </w:tc>
        <w:tc>
          <w:tcPr>
            <w:tcW w:type="dxa" w:w="1440"/>
          </w:tcPr>
          <w:p>
            <w:pPr>
              <w:jc w:val="right"/>
            </w:pPr>
            <w:r/>
            <w:r>
              <w:rPr>
                <w:sz w:val="18"/>
              </w:rPr>
              <w:t>20x</w:t>
            </w:r>
          </w:p>
        </w:tc>
        <w:tc>
          <w:tcPr>
            <w:tcW w:type="dxa" w:w="1440"/>
          </w:tcPr>
          <w:p>
            <w:pPr>
              <w:jc w:val="right"/>
            </w:pPr>
            <w:r/>
            <w:r>
              <w:rPr>
                <w:sz w:val="18"/>
              </w:rPr>
              <w:t>245,578x</w:t>
            </w:r>
          </w:p>
        </w:tc>
        <w:tc>
          <w:tcPr>
            <w:tcW w:type="dxa" w:w="1440"/>
          </w:tcPr>
          <w:p>
            <w:pPr>
              <w:jc w:val="right"/>
            </w:pPr>
            <w:r/>
            <w:r>
              <w:rPr>
                <w:sz w:val="18"/>
              </w:rPr>
              <w:t>0.022 %</w:t>
            </w:r>
          </w:p>
        </w:tc>
      </w:tr>
    </w:tbl>
    <w:p>
      <w:pPr>
        <w:jc w:val="center"/>
      </w:pPr>
      <w:r>
        <w:drawing>
          <wp:inline xmlns:a="http://schemas.openxmlformats.org/drawingml/2006/main" xmlns:pic="http://schemas.openxmlformats.org/drawingml/2006/picture">
            <wp:extent cx="6217920" cy="1787652"/>
            <wp:docPr id="7" name="Picture 7"/>
            <wp:cNvGraphicFramePr>
              <a:graphicFrameLocks noChangeAspect="1"/>
            </wp:cNvGraphicFramePr>
            <a:graphic>
              <a:graphicData uri="http://schemas.openxmlformats.org/drawingml/2006/picture">
                <pic:pic>
                  <pic:nvPicPr>
                    <pic:cNvPr id="0" name="hist_fulllife_nominal.png"/>
                    <pic:cNvPicPr/>
                  </pic:nvPicPr>
                  <pic:blipFill>
                    <a:blip r:embed="rId15"/>
                    <a:stretch>
                      <a:fillRect/>
                    </a:stretch>
                  </pic:blipFill>
                  <pic:spPr>
                    <a:xfrm>
                      <a:off x="0" y="0"/>
                      <a:ext cx="6217920" cy="1787652"/>
                    </a:xfrm>
                    <a:prstGeom prst="rect"/>
                  </pic:spPr>
                </pic:pic>
              </a:graphicData>
            </a:graphic>
          </wp:inline>
        </w:drawing>
      </w:r>
    </w:p>
    <w:p>
      <w:pPr>
        <w:jc w:val="center"/>
      </w:pPr>
      <w:r>
        <w:drawing>
          <wp:inline xmlns:a="http://schemas.openxmlformats.org/drawingml/2006/main" xmlns:pic="http://schemas.openxmlformats.org/drawingml/2006/picture">
            <wp:extent cx="6217920" cy="1787652"/>
            <wp:docPr id="8" name="Picture 8"/>
            <wp:cNvGraphicFramePr>
              <a:graphicFrameLocks noChangeAspect="1"/>
            </wp:cNvGraphicFramePr>
            <a:graphic>
              <a:graphicData uri="http://schemas.openxmlformats.org/drawingml/2006/picture">
                <pic:pic>
                  <pic:nvPicPr>
                    <pic:cNvPr id="0" name="hist_fulllife_real.png"/>
                    <pic:cNvPicPr/>
                  </pic:nvPicPr>
                  <pic:blipFill>
                    <a:blip r:embed="rId16"/>
                    <a:stretch>
                      <a:fillRect/>
                    </a:stretch>
                  </pic:blipFill>
                  <pic:spPr>
                    <a:xfrm>
                      <a:off x="0" y="0"/>
                      <a:ext cx="6217920" cy="1787652"/>
                    </a:xfrm>
                    <a:prstGeom prst="rect"/>
                  </pic:spPr>
                </pic:pic>
              </a:graphicData>
            </a:graphic>
          </wp:inline>
        </w:drawing>
      </w:r>
    </w:p>
    <w:p>
      <w:pPr>
        <w:pStyle w:val="Heading1"/>
      </w:pPr>
      <w:r>
        <w:rPr>
          <w:color w:val="1A365D"/>
        </w:rPr>
        <w:t>6. Robustness And Audit</w:t>
      </w:r>
    </w:p>
    <w:p>
      <w:pPr>
        <w:pStyle w:val="Heading2"/>
      </w:pPr>
      <w:r>
        <w:rPr>
          <w:color w:val="1A365D"/>
        </w:rPr>
        <w:t>First Observed Return Sensitivity</w:t>
      </w:r>
    </w:p>
    <w:tbl>
      <w:tblPr>
        <w:tblStyle w:val="LightGrid-Accent1"/>
        <w:tblW w:type="auto" w:w="0"/>
        <w:tblLayout w:type="autofit"/>
        <w:tblLook w:firstColumn="1" w:firstRow="1" w:lastColumn="0" w:lastRow="0" w:noHBand="0" w:noVBand="1" w:val="04A0"/>
      </w:tblPr>
      <w:tblGrid>
        <w:gridCol w:w="1680"/>
        <w:gridCol w:w="1680"/>
        <w:gridCol w:w="1680"/>
        <w:gridCol w:w="1680"/>
        <w:gridCol w:w="1680"/>
        <w:gridCol w:w="1680"/>
      </w:tblGrid>
      <w:tr>
        <w:tc>
          <w:tcPr>
            <w:tcW w:type="dxa" w:w="1680"/>
            <w:shd w:val="clear" w:color="auto" w:fill="E2E8F0"/>
          </w:tcPr>
          <w:p>
            <w:pPr>
              <w:jc w:val="center"/>
            </w:pPr>
            <w:r/>
            <w:r>
              <w:rPr>
                <w:b/>
                <w:sz w:val="18"/>
              </w:rPr>
              <w:t>Horizon</w:t>
            </w:r>
          </w:p>
        </w:tc>
        <w:tc>
          <w:tcPr>
            <w:tcW w:type="dxa" w:w="1680"/>
            <w:shd w:val="clear" w:color="auto" w:fill="E2E8F0"/>
          </w:tcPr>
          <w:p>
            <w:pPr>
              <w:jc w:val="center"/>
            </w:pPr>
            <w:r/>
            <w:r>
              <w:rPr>
                <w:b/>
                <w:sz w:val="18"/>
              </w:rPr>
              <w:t>Basis</w:t>
            </w:r>
          </w:p>
        </w:tc>
        <w:tc>
          <w:tcPr>
            <w:tcW w:type="dxa" w:w="1680"/>
            <w:shd w:val="clear" w:color="auto" w:fill="E2E8F0"/>
          </w:tcPr>
          <w:p>
            <w:pPr>
              <w:jc w:val="center"/>
            </w:pPr>
            <w:r/>
            <w:r>
              <w:rPr>
                <w:b/>
                <w:sz w:val="18"/>
              </w:rPr>
              <w:t>% positive incl.</w:t>
            </w:r>
          </w:p>
        </w:tc>
        <w:tc>
          <w:tcPr>
            <w:tcW w:type="dxa" w:w="1680"/>
            <w:shd w:val="clear" w:color="auto" w:fill="E2E8F0"/>
          </w:tcPr>
          <w:p>
            <w:pPr>
              <w:jc w:val="center"/>
            </w:pPr>
            <w:r/>
            <w:r>
              <w:rPr>
                <w:b/>
                <w:sz w:val="18"/>
              </w:rPr>
              <w:t>% positive skip</w:t>
            </w:r>
          </w:p>
        </w:tc>
        <w:tc>
          <w:tcPr>
            <w:tcW w:type="dxa" w:w="1680"/>
            <w:shd w:val="clear" w:color="auto" w:fill="E2E8F0"/>
          </w:tcPr>
          <w:p>
            <w:pPr>
              <w:jc w:val="center"/>
            </w:pPr>
            <w:r/>
            <w:r>
              <w:rPr>
                <w:b/>
                <w:sz w:val="18"/>
              </w:rPr>
              <w:t>Median incl.</w:t>
            </w:r>
          </w:p>
        </w:tc>
        <w:tc>
          <w:tcPr>
            <w:tcW w:type="dxa" w:w="1680"/>
            <w:shd w:val="clear" w:color="auto" w:fill="E2E8F0"/>
          </w:tcPr>
          <w:p>
            <w:pPr>
              <w:jc w:val="center"/>
            </w:pPr>
            <w:r/>
            <w:r>
              <w:rPr>
                <w:b/>
                <w:sz w:val="18"/>
              </w:rPr>
              <w:t>Median skip</w:t>
            </w:r>
          </w:p>
        </w:tc>
      </w:tr>
      <w:tr>
        <w:tc>
          <w:tcPr>
            <w:tcW w:type="dxa" w:w="1680"/>
          </w:tcPr>
          <w:p>
            <w:pPr>
              <w:jc w:val="left"/>
            </w:pPr>
            <w:r/>
            <w:r>
              <w:rPr>
                <w:sz w:val="18"/>
              </w:rPr>
              <w:t>10y</w:t>
            </w:r>
          </w:p>
        </w:tc>
        <w:tc>
          <w:tcPr>
            <w:tcW w:type="dxa" w:w="1680"/>
          </w:tcPr>
          <w:p>
            <w:pPr>
              <w:jc w:val="right"/>
            </w:pPr>
            <w:r/>
            <w:r>
              <w:rPr>
                <w:sz w:val="18"/>
              </w:rPr>
              <w:t>nominal</w:t>
            </w:r>
          </w:p>
        </w:tc>
        <w:tc>
          <w:tcPr>
            <w:tcW w:type="dxa" w:w="1680"/>
          </w:tcPr>
          <w:p>
            <w:pPr>
              <w:jc w:val="right"/>
            </w:pPr>
            <w:r/>
            <w:r>
              <w:rPr>
                <w:sz w:val="18"/>
              </w:rPr>
              <w:t>57.3 %</w:t>
            </w:r>
          </w:p>
        </w:tc>
        <w:tc>
          <w:tcPr>
            <w:tcW w:type="dxa" w:w="1680"/>
          </w:tcPr>
          <w:p>
            <w:pPr>
              <w:jc w:val="right"/>
            </w:pPr>
            <w:r/>
            <w:r>
              <w:rPr>
                <w:sz w:val="18"/>
              </w:rPr>
              <w:t>57.5 %</w:t>
            </w:r>
          </w:p>
        </w:tc>
        <w:tc>
          <w:tcPr>
            <w:tcW w:type="dxa" w:w="1680"/>
          </w:tcPr>
          <w:p>
            <w:pPr>
              <w:jc w:val="right"/>
            </w:pPr>
            <w:r/>
            <w:r>
              <w:rPr>
                <w:sz w:val="18"/>
              </w:rPr>
              <w:t>+23.7 %</w:t>
            </w:r>
          </w:p>
        </w:tc>
        <w:tc>
          <w:tcPr>
            <w:tcW w:type="dxa" w:w="1680"/>
          </w:tcPr>
          <w:p>
            <w:pPr>
              <w:jc w:val="right"/>
            </w:pPr>
            <w:r/>
            <w:r>
              <w:rPr>
                <w:sz w:val="18"/>
              </w:rPr>
              <w:t>+23.7 %</w:t>
            </w:r>
          </w:p>
        </w:tc>
      </w:tr>
      <w:tr>
        <w:tc>
          <w:tcPr>
            <w:tcW w:type="dxa" w:w="1680"/>
          </w:tcPr>
          <w:p>
            <w:pPr>
              <w:jc w:val="left"/>
            </w:pPr>
            <w:r/>
            <w:r>
              <w:rPr>
                <w:sz w:val="18"/>
              </w:rPr>
              <w:t>10y</w:t>
            </w:r>
          </w:p>
        </w:tc>
        <w:tc>
          <w:tcPr>
            <w:tcW w:type="dxa" w:w="1680"/>
          </w:tcPr>
          <w:p>
            <w:pPr>
              <w:jc w:val="right"/>
            </w:pPr>
            <w:r/>
            <w:r>
              <w:rPr>
                <w:sz w:val="18"/>
              </w:rPr>
              <w:t>real (CPI-adj)</w:t>
            </w:r>
          </w:p>
        </w:tc>
        <w:tc>
          <w:tcPr>
            <w:tcW w:type="dxa" w:w="1680"/>
          </w:tcPr>
          <w:p>
            <w:pPr>
              <w:jc w:val="right"/>
            </w:pPr>
            <w:r/>
            <w:r>
              <w:rPr>
                <w:sz w:val="18"/>
              </w:rPr>
              <w:t>49.9 %</w:t>
            </w:r>
          </w:p>
        </w:tc>
        <w:tc>
          <w:tcPr>
            <w:tcW w:type="dxa" w:w="1680"/>
          </w:tcPr>
          <w:p>
            <w:pPr>
              <w:jc w:val="right"/>
            </w:pPr>
            <w:r/>
            <w:r>
              <w:rPr>
                <w:sz w:val="18"/>
              </w:rPr>
              <w:t>50.0 %</w:t>
            </w:r>
          </w:p>
        </w:tc>
        <w:tc>
          <w:tcPr>
            <w:tcW w:type="dxa" w:w="1680"/>
          </w:tcPr>
          <w:p>
            <w:pPr>
              <w:jc w:val="right"/>
            </w:pPr>
            <w:r/>
            <w:r>
              <w:rPr>
                <w:sz w:val="18"/>
              </w:rPr>
              <w:t>-0.2 %</w:t>
            </w:r>
          </w:p>
        </w:tc>
        <w:tc>
          <w:tcPr>
            <w:tcW w:type="dxa" w:w="1680"/>
          </w:tcPr>
          <w:p>
            <w:pPr>
              <w:jc w:val="right"/>
            </w:pPr>
            <w:r/>
            <w:r>
              <w:rPr>
                <w:sz w:val="18"/>
              </w:rPr>
              <w:t>+0.0 %</w:t>
            </w:r>
          </w:p>
        </w:tc>
      </w:tr>
      <w:tr>
        <w:tc>
          <w:tcPr>
            <w:tcW w:type="dxa" w:w="1680"/>
          </w:tcPr>
          <w:p>
            <w:pPr>
              <w:jc w:val="left"/>
            </w:pPr>
            <w:r/>
            <w:r>
              <w:rPr>
                <w:sz w:val="18"/>
              </w:rPr>
              <w:t>30y</w:t>
            </w:r>
          </w:p>
        </w:tc>
        <w:tc>
          <w:tcPr>
            <w:tcW w:type="dxa" w:w="1680"/>
          </w:tcPr>
          <w:p>
            <w:pPr>
              <w:jc w:val="right"/>
            </w:pPr>
            <w:r/>
            <w:r>
              <w:rPr>
                <w:sz w:val="18"/>
              </w:rPr>
              <w:t>nominal</w:t>
            </w:r>
          </w:p>
        </w:tc>
        <w:tc>
          <w:tcPr>
            <w:tcW w:type="dxa" w:w="1680"/>
          </w:tcPr>
          <w:p>
            <w:pPr>
              <w:jc w:val="right"/>
            </w:pPr>
            <w:r/>
            <w:r>
              <w:rPr>
                <w:sz w:val="18"/>
              </w:rPr>
              <w:t>51.0 %</w:t>
            </w:r>
          </w:p>
        </w:tc>
        <w:tc>
          <w:tcPr>
            <w:tcW w:type="dxa" w:w="1680"/>
          </w:tcPr>
          <w:p>
            <w:pPr>
              <w:jc w:val="right"/>
            </w:pPr>
            <w:r/>
            <w:r>
              <w:rPr>
                <w:sz w:val="18"/>
              </w:rPr>
              <w:t>51.2 %</w:t>
            </w:r>
          </w:p>
        </w:tc>
        <w:tc>
          <w:tcPr>
            <w:tcW w:type="dxa" w:w="1680"/>
          </w:tcPr>
          <w:p>
            <w:pPr>
              <w:jc w:val="right"/>
            </w:pPr>
            <w:r/>
            <w:r>
              <w:rPr>
                <w:sz w:val="18"/>
              </w:rPr>
              <w:t>+2.9 %</w:t>
            </w:r>
          </w:p>
        </w:tc>
        <w:tc>
          <w:tcPr>
            <w:tcW w:type="dxa" w:w="1680"/>
          </w:tcPr>
          <w:p>
            <w:pPr>
              <w:jc w:val="right"/>
            </w:pPr>
            <w:r/>
            <w:r>
              <w:rPr>
                <w:sz w:val="18"/>
              </w:rPr>
              <w:t>+3.2 %</w:t>
            </w:r>
          </w:p>
        </w:tc>
      </w:tr>
      <w:tr>
        <w:tc>
          <w:tcPr>
            <w:tcW w:type="dxa" w:w="1680"/>
          </w:tcPr>
          <w:p>
            <w:pPr>
              <w:jc w:val="left"/>
            </w:pPr>
            <w:r/>
            <w:r>
              <w:rPr>
                <w:sz w:val="18"/>
              </w:rPr>
              <w:t>30y</w:t>
            </w:r>
          </w:p>
        </w:tc>
        <w:tc>
          <w:tcPr>
            <w:tcW w:type="dxa" w:w="1680"/>
          </w:tcPr>
          <w:p>
            <w:pPr>
              <w:jc w:val="right"/>
            </w:pPr>
            <w:r/>
            <w:r>
              <w:rPr>
                <w:sz w:val="18"/>
              </w:rPr>
              <w:t>real (CPI-adj)</w:t>
            </w:r>
          </w:p>
        </w:tc>
        <w:tc>
          <w:tcPr>
            <w:tcW w:type="dxa" w:w="1680"/>
          </w:tcPr>
          <w:p>
            <w:pPr>
              <w:jc w:val="right"/>
            </w:pPr>
            <w:r/>
            <w:r>
              <w:rPr>
                <w:sz w:val="18"/>
              </w:rPr>
              <w:t>44.0 %</w:t>
            </w:r>
          </w:p>
        </w:tc>
        <w:tc>
          <w:tcPr>
            <w:tcW w:type="dxa" w:w="1680"/>
          </w:tcPr>
          <w:p>
            <w:pPr>
              <w:jc w:val="right"/>
            </w:pPr>
            <w:r/>
            <w:r>
              <w:rPr>
                <w:sz w:val="18"/>
              </w:rPr>
              <w:t>44.1 %</w:t>
            </w:r>
          </w:p>
        </w:tc>
        <w:tc>
          <w:tcPr>
            <w:tcW w:type="dxa" w:w="1680"/>
          </w:tcPr>
          <w:p>
            <w:pPr>
              <w:jc w:val="right"/>
            </w:pPr>
            <w:r/>
            <w:r>
              <w:rPr>
                <w:sz w:val="18"/>
              </w:rPr>
              <w:t>-18.5 %</w:t>
            </w:r>
          </w:p>
        </w:tc>
        <w:tc>
          <w:tcPr>
            <w:tcW w:type="dxa" w:w="1680"/>
          </w:tcPr>
          <w:p>
            <w:pPr>
              <w:jc w:val="right"/>
            </w:pPr>
            <w:r/>
            <w:r>
              <w:rPr>
                <w:sz w:val="18"/>
              </w:rPr>
              <w:t>-18.0 %</w:t>
            </w:r>
          </w:p>
        </w:tc>
      </w:tr>
      <w:tr>
        <w:tc>
          <w:tcPr>
            <w:tcW w:type="dxa" w:w="1680"/>
          </w:tcPr>
          <w:p>
            <w:pPr>
              <w:jc w:val="left"/>
            </w:pPr>
            <w:r/>
            <w:r>
              <w:rPr>
                <w:sz w:val="18"/>
              </w:rPr>
              <w:t>full-life</w:t>
            </w:r>
          </w:p>
        </w:tc>
        <w:tc>
          <w:tcPr>
            <w:tcW w:type="dxa" w:w="1680"/>
          </w:tcPr>
          <w:p>
            <w:pPr>
              <w:jc w:val="right"/>
            </w:pPr>
            <w:r/>
            <w:r>
              <w:rPr>
                <w:sz w:val="18"/>
              </w:rPr>
              <w:t>nominal</w:t>
            </w:r>
          </w:p>
        </w:tc>
        <w:tc>
          <w:tcPr>
            <w:tcW w:type="dxa" w:w="1680"/>
          </w:tcPr>
          <w:p>
            <w:pPr>
              <w:jc w:val="right"/>
            </w:pPr>
            <w:r/>
            <w:r>
              <w:rPr>
                <w:sz w:val="18"/>
              </w:rPr>
              <w:t>48.1 %</w:t>
            </w:r>
          </w:p>
        </w:tc>
        <w:tc>
          <w:tcPr>
            <w:tcW w:type="dxa" w:w="1680"/>
          </w:tcPr>
          <w:p>
            <w:pPr>
              <w:jc w:val="right"/>
            </w:pPr>
            <w:r/>
            <w:r>
              <w:rPr>
                <w:sz w:val="18"/>
              </w:rPr>
              <w:t>48.3 %</w:t>
            </w:r>
          </w:p>
        </w:tc>
        <w:tc>
          <w:tcPr>
            <w:tcW w:type="dxa" w:w="1680"/>
          </w:tcPr>
          <w:p>
            <w:pPr>
              <w:jc w:val="right"/>
            </w:pPr>
            <w:r/>
            <w:r>
              <w:rPr>
                <w:sz w:val="18"/>
              </w:rPr>
              <w:t>-7.4 %</w:t>
            </w:r>
          </w:p>
        </w:tc>
        <w:tc>
          <w:tcPr>
            <w:tcW w:type="dxa" w:w="1680"/>
          </w:tcPr>
          <w:p>
            <w:pPr>
              <w:jc w:val="right"/>
            </w:pPr>
            <w:r/>
            <w:r>
              <w:rPr>
                <w:sz w:val="18"/>
              </w:rPr>
              <w:t>-6.0 %</w:t>
            </w:r>
          </w:p>
        </w:tc>
      </w:tr>
      <w:tr>
        <w:tc>
          <w:tcPr>
            <w:tcW w:type="dxa" w:w="1680"/>
          </w:tcPr>
          <w:p>
            <w:pPr>
              <w:jc w:val="left"/>
            </w:pPr>
            <w:r/>
            <w:r>
              <w:rPr>
                <w:sz w:val="18"/>
              </w:rPr>
              <w:t>full-life</w:t>
            </w:r>
          </w:p>
        </w:tc>
        <w:tc>
          <w:tcPr>
            <w:tcW w:type="dxa" w:w="1680"/>
          </w:tcPr>
          <w:p>
            <w:pPr>
              <w:jc w:val="right"/>
            </w:pPr>
            <w:r/>
            <w:r>
              <w:rPr>
                <w:sz w:val="18"/>
              </w:rPr>
              <w:t>real (CPI-adj)</w:t>
            </w:r>
          </w:p>
        </w:tc>
        <w:tc>
          <w:tcPr>
            <w:tcW w:type="dxa" w:w="1680"/>
          </w:tcPr>
          <w:p>
            <w:pPr>
              <w:jc w:val="right"/>
            </w:pPr>
            <w:r/>
            <w:r>
              <w:rPr>
                <w:sz w:val="18"/>
              </w:rPr>
              <w:t>41.3 %</w:t>
            </w:r>
          </w:p>
        </w:tc>
        <w:tc>
          <w:tcPr>
            <w:tcW w:type="dxa" w:w="1680"/>
          </w:tcPr>
          <w:p>
            <w:pPr>
              <w:jc w:val="right"/>
            </w:pPr>
            <w:r/>
            <w:r>
              <w:rPr>
                <w:sz w:val="18"/>
              </w:rPr>
              <w:t>41.4 %</w:t>
            </w:r>
          </w:p>
        </w:tc>
        <w:tc>
          <w:tcPr>
            <w:tcW w:type="dxa" w:w="1680"/>
          </w:tcPr>
          <w:p>
            <w:pPr>
              <w:jc w:val="right"/>
            </w:pPr>
            <w:r/>
            <w:r>
              <w:rPr>
                <w:sz w:val="18"/>
              </w:rPr>
              <w:t>-29.3 %</w:t>
            </w:r>
          </w:p>
        </w:tc>
        <w:tc>
          <w:tcPr>
            <w:tcW w:type="dxa" w:w="1680"/>
          </w:tcPr>
          <w:p>
            <w:pPr>
              <w:jc w:val="right"/>
            </w:pPr>
            <w:r/>
            <w:r>
              <w:rPr>
                <w:sz w:val="18"/>
              </w:rPr>
              <w:t>-28.4 %</w:t>
            </w:r>
          </w:p>
        </w:tc>
      </w:tr>
    </w:tbl>
    <w:p>
      <w:pPr>
        <w:pStyle w:val="Heading2"/>
      </w:pPr>
      <w:r>
        <w:rPr>
          <w:color w:val="1A365D"/>
        </w:rPr>
        <w:t>Period Audit</w:t>
      </w:r>
    </w:p>
    <w:tbl>
      <w:tblPr>
        <w:tblStyle w:val="LightGrid-Accent1"/>
        <w:tblW w:type="auto" w:w="0"/>
        <w:tblLayout w:type="autofit"/>
        <w:tblLook w:firstColumn="1" w:firstRow="1" w:lastColumn="0" w:lastRow="0" w:noHBand="0" w:noVBand="1" w:val="04A0"/>
      </w:tblPr>
      <w:tblGrid>
        <w:gridCol w:w="1120"/>
        <w:gridCol w:w="1120"/>
        <w:gridCol w:w="1120"/>
        <w:gridCol w:w="1120"/>
        <w:gridCol w:w="1120"/>
        <w:gridCol w:w="1120"/>
        <w:gridCol w:w="1120"/>
        <w:gridCol w:w="1120"/>
        <w:gridCol w:w="1120"/>
      </w:tblGrid>
      <w:tr>
        <w:tc>
          <w:tcPr>
            <w:tcW w:type="dxa" w:w="1120"/>
            <w:shd w:val="clear" w:color="auto" w:fill="E2E8F0"/>
          </w:tcPr>
          <w:p>
            <w:pPr>
              <w:jc w:val="center"/>
            </w:pPr>
            <w:r/>
            <w:r>
              <w:rPr>
                <w:b/>
                <w:sz w:val="18"/>
              </w:rPr>
              <w:t>Analysis</w:t>
            </w:r>
          </w:p>
        </w:tc>
        <w:tc>
          <w:tcPr>
            <w:tcW w:type="dxa" w:w="1120"/>
            <w:shd w:val="clear" w:color="auto" w:fill="E2E8F0"/>
          </w:tcPr>
          <w:p>
            <w:pPr>
              <w:jc w:val="center"/>
            </w:pPr>
            <w:r/>
            <w:r>
              <w:rPr>
                <w:b/>
                <w:sz w:val="18"/>
              </w:rPr>
              <w:t>Horizon</w:t>
            </w:r>
          </w:p>
        </w:tc>
        <w:tc>
          <w:tcPr>
            <w:tcW w:type="dxa" w:w="1120"/>
            <w:shd w:val="clear" w:color="auto" w:fill="E2E8F0"/>
          </w:tcPr>
          <w:p>
            <w:pPr>
              <w:jc w:val="center"/>
            </w:pPr>
            <w:r/>
            <w:r>
              <w:rPr>
                <w:b/>
                <w:sz w:val="18"/>
              </w:rPr>
              <w:t>Started periods</w:t>
            </w:r>
          </w:p>
        </w:tc>
        <w:tc>
          <w:tcPr>
            <w:tcW w:type="dxa" w:w="1120"/>
            <w:shd w:val="clear" w:color="auto" w:fill="E2E8F0"/>
          </w:tcPr>
          <w:p>
            <w:pPr>
              <w:jc w:val="center"/>
            </w:pPr>
            <w:r/>
            <w:r>
              <w:rPr>
                <w:b/>
                <w:sz w:val="18"/>
              </w:rPr>
              <w:t>Started PERMNOs</w:t>
            </w:r>
          </w:p>
        </w:tc>
        <w:tc>
          <w:tcPr>
            <w:tcW w:type="dxa" w:w="1120"/>
            <w:shd w:val="clear" w:color="auto" w:fill="E2E8F0"/>
          </w:tcPr>
          <w:p>
            <w:pPr>
              <w:jc w:val="center"/>
            </w:pPr>
            <w:r/>
            <w:r>
              <w:rPr>
                <w:b/>
                <w:sz w:val="18"/>
              </w:rPr>
              <w:t>Included periods</w:t>
            </w:r>
          </w:p>
        </w:tc>
        <w:tc>
          <w:tcPr>
            <w:tcW w:type="dxa" w:w="1120"/>
            <w:shd w:val="clear" w:color="auto" w:fill="E2E8F0"/>
          </w:tcPr>
          <w:p>
            <w:pPr>
              <w:jc w:val="center"/>
            </w:pPr>
            <w:r/>
            <w:r>
              <w:rPr>
                <w:b/>
                <w:sz w:val="18"/>
              </w:rPr>
              <w:t>Complete</w:t>
            </w:r>
          </w:p>
        </w:tc>
        <w:tc>
          <w:tcPr>
            <w:tcW w:type="dxa" w:w="1120"/>
            <w:shd w:val="clear" w:color="auto" w:fill="E2E8F0"/>
          </w:tcPr>
          <w:p>
            <w:pPr>
              <w:jc w:val="center"/>
            </w:pPr>
            <w:r/>
            <w:r>
              <w:rPr>
                <w:b/>
                <w:sz w:val="18"/>
              </w:rPr>
              <w:t>Delisted partial</w:t>
            </w:r>
          </w:p>
        </w:tc>
        <w:tc>
          <w:tcPr>
            <w:tcW w:type="dxa" w:w="1120"/>
            <w:shd w:val="clear" w:color="auto" w:fill="E2E8F0"/>
          </w:tcPr>
          <w:p>
            <w:pPr>
              <w:jc w:val="center"/>
            </w:pPr>
            <w:r/>
            <w:r>
              <w:rPr>
                <w:b/>
                <w:sz w:val="18"/>
              </w:rPr>
              <w:t>Sample-end censored</w:t>
            </w:r>
          </w:p>
        </w:tc>
        <w:tc>
          <w:tcPr>
            <w:tcW w:type="dxa" w:w="1120"/>
            <w:shd w:val="clear" w:color="auto" w:fill="E2E8F0"/>
          </w:tcPr>
          <w:p>
            <w:pPr>
              <w:jc w:val="center"/>
            </w:pPr>
            <w:r/>
            <w:r>
              <w:rPr>
                <w:b/>
                <w:sz w:val="18"/>
              </w:rPr>
              <w:t>Sparse</w:t>
            </w:r>
          </w:p>
        </w:tc>
      </w:tr>
      <w:tr>
        <w:tc>
          <w:tcPr>
            <w:tcW w:type="dxa" w:w="1120"/>
          </w:tcPr>
          <w:p>
            <w:pPr>
              <w:jc w:val="left"/>
            </w:pPr>
            <w:r/>
            <w:r>
              <w:rPr>
                <w:sz w:val="18"/>
              </w:rPr>
              <w:t>stock_anchored</w:t>
            </w:r>
          </w:p>
        </w:tc>
        <w:tc>
          <w:tcPr>
            <w:tcW w:type="dxa" w:w="1120"/>
          </w:tcPr>
          <w:p>
            <w:pPr>
              <w:jc w:val="right"/>
            </w:pPr>
            <w:r/>
            <w:r>
              <w:rPr>
                <w:sz w:val="18"/>
              </w:rPr>
              <w:t>10y</w:t>
            </w:r>
          </w:p>
        </w:tc>
        <w:tc>
          <w:tcPr>
            <w:tcW w:type="dxa" w:w="1120"/>
          </w:tcPr>
          <w:p>
            <w:pPr>
              <w:jc w:val="right"/>
            </w:pPr>
            <w:r/>
            <w:r>
              <w:rPr>
                <w:sz w:val="18"/>
              </w:rPr>
              <w:t>54,688</w:t>
            </w:r>
          </w:p>
        </w:tc>
        <w:tc>
          <w:tcPr>
            <w:tcW w:type="dxa" w:w="1120"/>
          </w:tcPr>
          <w:p>
            <w:pPr>
              <w:jc w:val="right"/>
            </w:pPr>
            <w:r/>
            <w:r>
              <w:rPr>
                <w:sz w:val="18"/>
              </w:rPr>
              <w:t>31,565</w:t>
            </w:r>
          </w:p>
        </w:tc>
        <w:tc>
          <w:tcPr>
            <w:tcW w:type="dxa" w:w="1120"/>
          </w:tcPr>
          <w:p>
            <w:pPr>
              <w:jc w:val="right"/>
            </w:pPr>
            <w:r/>
            <w:r>
              <w:rPr>
                <w:sz w:val="18"/>
              </w:rPr>
              <w:t>49,454</w:t>
            </w:r>
          </w:p>
        </w:tc>
        <w:tc>
          <w:tcPr>
            <w:tcW w:type="dxa" w:w="1120"/>
          </w:tcPr>
          <w:p>
            <w:pPr>
              <w:jc w:val="right"/>
            </w:pPr>
            <w:r/>
            <w:r>
              <w:rPr>
                <w:sz w:val="18"/>
              </w:rPr>
              <w:t>23,269</w:t>
            </w:r>
          </w:p>
        </w:tc>
        <w:tc>
          <w:tcPr>
            <w:tcW w:type="dxa" w:w="1120"/>
          </w:tcPr>
          <w:p>
            <w:pPr>
              <w:jc w:val="right"/>
            </w:pPr>
            <w:r/>
            <w:r>
              <w:rPr>
                <w:sz w:val="18"/>
              </w:rPr>
              <w:t>26,185</w:t>
            </w:r>
          </w:p>
        </w:tc>
        <w:tc>
          <w:tcPr>
            <w:tcW w:type="dxa" w:w="1120"/>
          </w:tcPr>
          <w:p>
            <w:pPr>
              <w:jc w:val="right"/>
            </w:pPr>
            <w:r/>
            <w:r>
              <w:rPr>
                <w:sz w:val="18"/>
              </w:rPr>
              <w:t>5,234</w:t>
            </w:r>
          </w:p>
        </w:tc>
        <w:tc>
          <w:tcPr>
            <w:tcW w:type="dxa" w:w="1120"/>
          </w:tcPr>
          <w:p>
            <w:pPr>
              <w:jc w:val="right"/>
            </w:pPr>
            <w:r/>
            <w:r>
              <w:rPr>
                <w:sz w:val="18"/>
              </w:rPr>
              <w:t>7</w:t>
            </w:r>
          </w:p>
        </w:tc>
      </w:tr>
      <w:tr>
        <w:tc>
          <w:tcPr>
            <w:tcW w:type="dxa" w:w="1120"/>
          </w:tcPr>
          <w:p>
            <w:pPr>
              <w:jc w:val="left"/>
            </w:pPr>
            <w:r/>
            <w:r>
              <w:rPr>
                <w:sz w:val="18"/>
              </w:rPr>
              <w:t>stock_anchored</w:t>
            </w:r>
          </w:p>
        </w:tc>
        <w:tc>
          <w:tcPr>
            <w:tcW w:type="dxa" w:w="1120"/>
          </w:tcPr>
          <w:p>
            <w:pPr>
              <w:jc w:val="right"/>
            </w:pPr>
            <w:r/>
            <w:r>
              <w:rPr>
                <w:sz w:val="18"/>
              </w:rPr>
              <w:t>30y</w:t>
            </w:r>
          </w:p>
        </w:tc>
        <w:tc>
          <w:tcPr>
            <w:tcW w:type="dxa" w:w="1120"/>
          </w:tcPr>
          <w:p>
            <w:pPr>
              <w:jc w:val="right"/>
            </w:pPr>
            <w:r/>
            <w:r>
              <w:rPr>
                <w:sz w:val="18"/>
              </w:rPr>
              <w:t>34,766</w:t>
            </w:r>
          </w:p>
        </w:tc>
        <w:tc>
          <w:tcPr>
            <w:tcW w:type="dxa" w:w="1120"/>
          </w:tcPr>
          <w:p>
            <w:pPr>
              <w:jc w:val="right"/>
            </w:pPr>
            <w:r/>
            <w:r>
              <w:rPr>
                <w:sz w:val="18"/>
              </w:rPr>
              <w:t>31,565</w:t>
            </w:r>
          </w:p>
        </w:tc>
        <w:tc>
          <w:tcPr>
            <w:tcW w:type="dxa" w:w="1120"/>
          </w:tcPr>
          <w:p>
            <w:pPr>
              <w:jc w:val="right"/>
            </w:pPr>
            <w:r/>
            <w:r>
              <w:rPr>
                <w:sz w:val="18"/>
              </w:rPr>
              <w:t>29,522</w:t>
            </w:r>
          </w:p>
        </w:tc>
        <w:tc>
          <w:tcPr>
            <w:tcW w:type="dxa" w:w="1120"/>
          </w:tcPr>
          <w:p>
            <w:pPr>
              <w:jc w:val="right"/>
            </w:pPr>
            <w:r/>
            <w:r>
              <w:rPr>
                <w:sz w:val="18"/>
              </w:rPr>
              <w:t>3,219</w:t>
            </w:r>
          </w:p>
        </w:tc>
        <w:tc>
          <w:tcPr>
            <w:tcW w:type="dxa" w:w="1120"/>
          </w:tcPr>
          <w:p>
            <w:pPr>
              <w:jc w:val="right"/>
            </w:pPr>
            <w:r/>
            <w:r>
              <w:rPr>
                <w:sz w:val="18"/>
              </w:rPr>
              <w:t>26,303</w:t>
            </w:r>
          </w:p>
        </w:tc>
        <w:tc>
          <w:tcPr>
            <w:tcW w:type="dxa" w:w="1120"/>
          </w:tcPr>
          <w:p>
            <w:pPr>
              <w:jc w:val="right"/>
            </w:pPr>
            <w:r/>
            <w:r>
              <w:rPr>
                <w:sz w:val="18"/>
              </w:rPr>
              <w:t>5,244</w:t>
            </w:r>
          </w:p>
        </w:tc>
        <w:tc>
          <w:tcPr>
            <w:tcW w:type="dxa" w:w="1120"/>
          </w:tcPr>
          <w:p>
            <w:pPr>
              <w:jc w:val="right"/>
            </w:pPr>
            <w:r/>
            <w:r>
              <w:rPr>
                <w:sz w:val="18"/>
              </w:rPr>
              <w:t>7</w:t>
            </w:r>
          </w:p>
        </w:tc>
      </w:tr>
      <w:tr>
        <w:tc>
          <w:tcPr>
            <w:tcW w:type="dxa" w:w="1120"/>
          </w:tcPr>
          <w:p>
            <w:pPr>
              <w:jc w:val="left"/>
            </w:pPr>
            <w:r/>
            <w:r>
              <w:rPr>
                <w:sz w:val="18"/>
              </w:rPr>
              <w:t>calendar_window</w:t>
            </w:r>
          </w:p>
        </w:tc>
        <w:tc>
          <w:tcPr>
            <w:tcW w:type="dxa" w:w="1120"/>
          </w:tcPr>
          <w:p>
            <w:pPr>
              <w:jc w:val="right"/>
            </w:pPr>
            <w:r/>
            <w:r>
              <w:rPr>
                <w:sz w:val="18"/>
              </w:rPr>
              <w:t>10y</w:t>
            </w:r>
          </w:p>
        </w:tc>
        <w:tc>
          <w:tcPr>
            <w:tcW w:type="dxa" w:w="1120"/>
          </w:tcPr>
          <w:p>
            <w:pPr>
              <w:jc w:val="right"/>
            </w:pPr>
            <w:r/>
            <w:r>
              <w:rPr>
                <w:sz w:val="18"/>
              </w:rPr>
              <w:t>35,167</w:t>
            </w:r>
          </w:p>
        </w:tc>
        <w:tc>
          <w:tcPr>
            <w:tcW w:type="dxa" w:w="1120"/>
          </w:tcPr>
          <w:p>
            <w:pPr>
              <w:jc w:val="right"/>
            </w:pPr>
            <w:r/>
            <w:r>
              <w:rPr>
                <w:sz w:val="18"/>
              </w:rPr>
              <w:t>19,495</w:t>
            </w:r>
          </w:p>
        </w:tc>
        <w:tc>
          <w:tcPr>
            <w:tcW w:type="dxa" w:w="1120"/>
          </w:tcPr>
          <w:p>
            <w:pPr>
              <w:jc w:val="right"/>
            </w:pPr>
            <w:r/>
            <w:r>
              <w:rPr>
                <w:sz w:val="18"/>
              </w:rPr>
              <w:t>35,167</w:t>
            </w:r>
          </w:p>
        </w:tc>
        <w:tc>
          <w:tcPr>
            <w:tcW w:type="dxa" w:w="1120"/>
          </w:tcPr>
          <w:p>
            <w:pPr>
              <w:jc w:val="right"/>
            </w:pPr>
            <w:r/>
            <w:r>
              <w:rPr>
                <w:sz w:val="18"/>
              </w:rPr>
              <w:t>18,303</w:t>
            </w:r>
          </w:p>
        </w:tc>
        <w:tc>
          <w:tcPr>
            <w:tcW w:type="dxa" w:w="1120"/>
          </w:tcPr>
          <w:p>
            <w:pPr>
              <w:jc w:val="right"/>
            </w:pPr>
            <w:r/>
            <w:r>
              <w:rPr>
                <w:sz w:val="18"/>
              </w:rPr>
              <w:t>16,864</w:t>
            </w:r>
          </w:p>
        </w:tc>
        <w:tc>
          <w:tcPr>
            <w:tcW w:type="dxa" w:w="1120"/>
          </w:tcPr>
          <w:p>
            <w:pPr>
              <w:jc w:val="right"/>
            </w:pPr>
            <w:r/>
            <w:r>
              <w:rPr>
                <w:sz w:val="18"/>
              </w:rPr>
              <w:t>0</w:t>
            </w:r>
          </w:p>
        </w:tc>
        <w:tc>
          <w:tcPr>
            <w:tcW w:type="dxa" w:w="1120"/>
          </w:tcPr>
          <w:p>
            <w:pPr>
              <w:jc w:val="right"/>
            </w:pPr>
            <w:r/>
            <w:r>
              <w:rPr>
                <w:sz w:val="18"/>
              </w:rPr>
              <w:t>6</w:t>
            </w:r>
          </w:p>
        </w:tc>
      </w:tr>
      <w:tr>
        <w:tc>
          <w:tcPr>
            <w:tcW w:type="dxa" w:w="1120"/>
          </w:tcPr>
          <w:p>
            <w:pPr>
              <w:jc w:val="left"/>
            </w:pPr>
            <w:r/>
            <w:r>
              <w:rPr>
                <w:sz w:val="18"/>
              </w:rPr>
              <w:t>calendar_window</w:t>
            </w:r>
          </w:p>
        </w:tc>
        <w:tc>
          <w:tcPr>
            <w:tcW w:type="dxa" w:w="1120"/>
          </w:tcPr>
          <w:p>
            <w:pPr>
              <w:jc w:val="right"/>
            </w:pPr>
            <w:r/>
            <w:r>
              <w:rPr>
                <w:sz w:val="18"/>
              </w:rPr>
              <w:t>30y</w:t>
            </w:r>
          </w:p>
        </w:tc>
        <w:tc>
          <w:tcPr>
            <w:tcW w:type="dxa" w:w="1120"/>
          </w:tcPr>
          <w:p>
            <w:pPr>
              <w:jc w:val="right"/>
            </w:pPr>
            <w:r/>
            <w:r>
              <w:rPr>
                <w:sz w:val="18"/>
              </w:rPr>
              <w:t>7,856</w:t>
            </w:r>
          </w:p>
        </w:tc>
        <w:tc>
          <w:tcPr>
            <w:tcW w:type="dxa" w:w="1120"/>
          </w:tcPr>
          <w:p>
            <w:pPr>
              <w:jc w:val="right"/>
            </w:pPr>
            <w:r/>
            <w:r>
              <w:rPr>
                <w:sz w:val="18"/>
              </w:rPr>
              <w:t>7,119</w:t>
            </w:r>
          </w:p>
        </w:tc>
        <w:tc>
          <w:tcPr>
            <w:tcW w:type="dxa" w:w="1120"/>
          </w:tcPr>
          <w:p>
            <w:pPr>
              <w:jc w:val="right"/>
            </w:pPr>
            <w:r/>
            <w:r>
              <w:rPr>
                <w:sz w:val="18"/>
              </w:rPr>
              <w:t>7,856</w:t>
            </w:r>
          </w:p>
        </w:tc>
        <w:tc>
          <w:tcPr>
            <w:tcW w:type="dxa" w:w="1120"/>
          </w:tcPr>
          <w:p>
            <w:pPr>
              <w:jc w:val="right"/>
            </w:pPr>
            <w:r/>
            <w:r>
              <w:rPr>
                <w:sz w:val="18"/>
              </w:rPr>
              <w:t>1,558</w:t>
            </w:r>
          </w:p>
        </w:tc>
        <w:tc>
          <w:tcPr>
            <w:tcW w:type="dxa" w:w="1120"/>
          </w:tcPr>
          <w:p>
            <w:pPr>
              <w:jc w:val="right"/>
            </w:pPr>
            <w:r/>
            <w:r>
              <w:rPr>
                <w:sz w:val="18"/>
              </w:rPr>
              <w:t>6,298</w:t>
            </w:r>
          </w:p>
        </w:tc>
        <w:tc>
          <w:tcPr>
            <w:tcW w:type="dxa" w:w="1120"/>
          </w:tcPr>
          <w:p>
            <w:pPr>
              <w:jc w:val="right"/>
            </w:pPr>
            <w:r/>
            <w:r>
              <w:rPr>
                <w:sz w:val="18"/>
              </w:rPr>
              <w:t>0</w:t>
            </w:r>
          </w:p>
        </w:tc>
        <w:tc>
          <w:tcPr>
            <w:tcW w:type="dxa" w:w="1120"/>
          </w:tcPr>
          <w:p>
            <w:pPr>
              <w:jc w:val="right"/>
            </w:pPr>
            <w:r/>
            <w:r>
              <w:rPr>
                <w:sz w:val="18"/>
              </w:rPr>
              <w:t>3</w:t>
            </w:r>
          </w:p>
        </w:tc>
      </w:tr>
    </w:tbl>
    <w:p>
      <w:pPr>
        <w:pStyle w:val="Heading1"/>
      </w:pPr>
      <w:r>
        <w:rPr>
          <w:color w:val="1A365D"/>
        </w:rPr>
        <w:t>7. Caveats</w:t>
      </w:r>
    </w:p>
    <w:p>
      <w:pPr>
        <w:pStyle w:val="ListBullet"/>
      </w:pPr>
      <w:r>
        <w:t>Stock-anchored headline summaries are stock-period summaries; long-lived stocks can contribute multiple non-overlapping periods.</w:t>
      </w:r>
    </w:p>
    <w:p>
      <w:pPr>
        <w:pStyle w:val="ListBullet"/>
      </w:pPr>
      <w:r>
        <w:t>The first-period-per-stock table gives a one-stock-one-vote companion view.</w:t>
      </w:r>
    </w:p>
    <w:p>
      <w:pPr>
        <w:pStyle w:val="ListBullet"/>
      </w:pPr>
      <w:r>
        <w:t>Calendar windows are start-cohort views and do not include stocks that list after the window begins.</w:t>
      </w:r>
    </w:p>
    <w:p>
      <w:pPr>
        <w:pStyle w:val="ListBullet"/>
      </w:pPr>
      <w:r>
        <w:t>Not-traded months with missing MthRet are set to 0 to preserve the monthly return timeline.</w:t>
      </w:r>
    </w:p>
    <w:p>
      <w:pPr>
        <w:pStyle w:val="ListBullet"/>
      </w:pPr>
      <w:r>
        <w:t>Sparse histories are rare and listed in sparse_history_audit.csv.</w:t>
      </w:r>
    </w:p>
    <w:p>
      <w:pPr>
        <w:pStyle w:val="ListBullet"/>
      </w:pPr>
      <w:r>
        <w:t>Delisting outcomes are measured using the CRSP monthly returns present in the file.</w:t>
      </w:r>
    </w:p>
    <w:p>
      <w:pPr>
        <w:pStyle w:val="Heading1"/>
      </w:pPr>
      <w:r>
        <w:rPr>
          <w:color w:val="1A365D"/>
        </w:rPr>
        <w:t>8. Reproducibility</w:t>
      </w:r>
    </w:p>
    <w:p>
      <w:r>
        <w:rPr>
          <w:rFonts w:ascii="Consolas" w:hAnsi="Consolas"/>
          <w:sz w:val="20"/>
        </w:rPr>
        <w:t>python program/run_analysis.py</w:t>
        <w:br/>
        <w:t>python program/build_docx.py</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