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三模态无人机检测消融实验</w:t>
      </w:r>
    </w:p>
    <w:p>
      <w:pPr>
        <w:spacing w:after="200"/>
        <w:jc w:val="center"/>
      </w:pPr>
      <w:r>
        <w:rPr>
          <w:rFonts w:ascii="Arial" w:cs="Arial" w:eastAsia="Arial" w:hAnsi="Arial"/>
          <w:b/>
          <w:bCs/>
          <w:sz w:val="32"/>
          <w:szCs w:val="32"/>
        </w:rPr>
        <w:t xml:space="preserve">Event相机贡献分析报告</w:t>
      </w:r>
    </w:p>
    <w:p>
      <w:pPr>
        <w:spacing w:after="400"/>
        <w:jc w:val="center"/>
      </w:pPr>
      <w:r>
        <w:rPr>
          <w:rFonts w:ascii="Arial" w:cs="Arial" w:eastAsia="Arial" w:hAnsi="Arial"/>
          <w:color w:val="666666"/>
          <w:sz w:val="22"/>
          <w:szCs w:val="22"/>
        </w:rPr>
        <w:t xml:space="preserve">2026年6月16日</w:t>
      </w:r>
    </w:p>
    <w:p>
      <w:pPr>
        <w:pStyle w:val="Heading1"/>
        <w:spacing w:after="200" w:before="360"/>
      </w:pPr>
      <w:r>
        <w:rPr>
          <w:rFonts w:ascii="Arial" w:cs="Arial" w:eastAsia="Arial" w:hAnsi="Arial"/>
          <w:b/>
          <w:bCs/>
          <w:sz w:val="32"/>
          <w:szCs w:val="32"/>
        </w:rPr>
        <w:t xml:space="preserve">一、传感器特性分析</w:t>
      </w:r>
    </w:p>
    <w:p>
      <w:pPr>
        <w:pStyle w:val="Heading2"/>
        <w:spacing w:after="160" w:before="280"/>
      </w:pPr>
      <w:r>
        <w:rPr>
          <w:rFonts w:ascii="Arial" w:cs="Arial" w:eastAsia="Arial" w:hAnsi="Arial"/>
          <w:b/>
          <w:bCs/>
          <w:sz w:val="28"/>
          <w:szCs w:val="28"/>
        </w:rPr>
        <w:t xml:space="preserve">1.1 RGB相机</w:t>
      </w:r>
    </w:p>
    <w:p>
      <w:pPr>
        <w:spacing w:after="120" w:line="360"/>
      </w:pPr>
      <w:r>
        <w:rPr>
          <w:rFonts w:ascii="Arial" w:cs="Arial" w:eastAsia="Arial" w:hAnsi="Arial"/>
          <w:sz w:val="24"/>
          <w:szCs w:val="24"/>
        </w:rPr>
        <w:t xml:space="preserve">RGB相机通过感光元件（CMOS/CCD）被动接收可见光波段（380-780nm）辐射，输出具有红、绿、蓝三通道的彩色图像。其核心优势在于高空间分辨率（本实验640×360像素）和丰富的纹理与颜色信息，能够刻画目标的外观细节（如无人机的外形、涂装、结构纹理）。然而，RGB相机对光照条件高度敏感，在夜间、逆光、浓雾或阴影遮挡等场景下性能急剧退化，单一依赖RGB无法满足全天候反无人机任务需求。</w:t>
      </w:r>
    </w:p>
    <w:p>
      <w:pPr>
        <w:pStyle w:val="Heading2"/>
        <w:spacing w:after="160" w:before="280"/>
      </w:pPr>
      <w:r>
        <w:rPr>
          <w:rFonts w:ascii="Arial" w:cs="Arial" w:eastAsia="Arial" w:hAnsi="Arial"/>
          <w:b/>
          <w:bCs/>
          <w:sz w:val="28"/>
          <w:szCs w:val="28"/>
        </w:rPr>
        <w:t xml:space="preserve">1.2 热红外相机</w:t>
      </w:r>
    </w:p>
    <w:p>
      <w:pPr>
        <w:spacing w:after="120" w:line="360"/>
      </w:pPr>
      <w:r>
        <w:rPr>
          <w:rFonts w:ascii="Arial" w:cs="Arial" w:eastAsia="Arial" w:hAnsi="Arial"/>
          <w:sz w:val="24"/>
          <w:szCs w:val="24"/>
        </w:rPr>
        <w:t xml:space="preserve">热红外相机工作于长波红外波段（8-14μm），通过被动接收目标自身热辐射成像，不依赖外部光源。无人机在飞行过程中电机、电池和电子元件持续发热，在红外图像中形成明显的高亮区域，可在完全黑暗、烟雾遮蔽等条件下有效检测。然而，热红外图像空间分辨率相对较低（本实验640×512像素），纹理细节匮乏，且环境热源（如阳光直射建筑、地面辐射）可能形成干扰。</w:t>
      </w:r>
    </w:p>
    <w:p>
      <w:pPr>
        <w:pStyle w:val="Heading2"/>
        <w:spacing w:after="160" w:before="280"/>
      </w:pPr>
      <w:r>
        <w:rPr>
          <w:rFonts w:ascii="Arial" w:cs="Arial" w:eastAsia="Arial" w:hAnsi="Arial"/>
          <w:b/>
          <w:bCs/>
          <w:sz w:val="28"/>
          <w:szCs w:val="28"/>
        </w:rPr>
        <w:t xml:space="preserve">1.3 Event相机（事件相机）</w:t>
      </w:r>
    </w:p>
    <w:p>
      <w:pPr>
        <w:spacing w:after="120" w:line="360"/>
      </w:pPr>
      <w:r>
        <w:rPr>
          <w:rFonts w:ascii="Arial" w:cs="Arial" w:eastAsia="Arial" w:hAnsi="Arial"/>
          <w:sz w:val="24"/>
          <w:szCs w:val="24"/>
        </w:rPr>
        <w:t xml:space="preserve">事件相机是一种神经形态视觉传感器，其工作机制与传统的帧相机（RGB/红外）有着本质区别。Event相机的每个像素独立异步地检测亮度变化——当像素处亮度变化超过预设阈值时，立即输出一个事件，包含该像素的位置(x,y)、时间戳（微秒级精度）和极性（亮度增加/减少）。这种工作机制赋予了Event相机三项独特优势：（1）微秒级时间分辨率，可精确捕捉高速运动；（2）极高动态范围（&gt;120dB），在强光与暗光区域同时可见；（3）数据稀疏输出，仅在运动/变化区域产生信号，天然滤除了静态背景。其局限性在于无法直接提供颜色或绝对亮度信息，输出为稀疏的边缘特征。</w:t>
      </w:r>
    </w:p>
    <w:p>
      <w:pPr>
        <w:pStyle w:val="Heading2"/>
        <w:spacing w:after="160" w:before="280"/>
      </w:pPr>
      <w:r>
        <w:rPr>
          <w:rFonts w:ascii="Arial" w:cs="Arial" w:eastAsia="Arial" w:hAnsi="Arial"/>
          <w:b/>
          <w:bCs/>
          <w:sz w:val="28"/>
          <w:szCs w:val="28"/>
        </w:rPr>
        <w:t xml:space="preserve">1.4 三模态互补性</w:t>
      </w:r>
    </w:p>
    <w:p>
      <w:pPr>
        <w:spacing w:after="120" w:line="360"/>
      </w:pPr>
      <w:r>
        <w:rPr>
          <w:rFonts w:ascii="Arial" w:cs="Arial" w:eastAsia="Arial" w:hAnsi="Arial"/>
          <w:sz w:val="24"/>
          <w:szCs w:val="24"/>
        </w:rPr>
        <w:t xml:space="preserve">三种传感器在物理测量维度上形成了天然互补。RGB提供高空间分辨率的纹理和颜色（是什么），热红外提供目标自身热辐射信号（有多热），Event相机提供高速运动引起的亮度变化边缘（在哪里动）。三者联合覆盖了纹理-热辐射-运动边缘三个正交的信息维度，理论上可在各种环境条件下（白天/夜晚、晴/雾、静态悬停/高速机动）实现鲁棒的无人机检测。</w:t>
      </w:r>
    </w:p>
    <w:p>
      <w:pPr>
        <w:pStyle w:val="Heading1"/>
        <w:spacing w:after="200" w:before="360"/>
      </w:pPr>
      <w:r>
        <w:rPr>
          <w:rFonts w:ascii="Arial" w:cs="Arial" w:eastAsia="Arial" w:hAnsi="Arial"/>
          <w:b/>
          <w:bCs/>
          <w:sz w:val="32"/>
          <w:szCs w:val="32"/>
        </w:rPr>
        <w:t xml:space="preserve">二、实验设置</w:t>
      </w:r>
    </w:p>
    <w:p>
      <w:pPr>
        <w:spacing w:after="80" w:line="340"/>
      </w:pPr>
      <w:r>
        <w:rPr>
          <w:rFonts w:ascii="Arial" w:cs="Arial" w:eastAsia="Arial" w:hAnsi="Arial"/>
          <w:b/>
          <w:bCs/>
          <w:sz w:val="22"/>
          <w:szCs w:val="22"/>
        </w:rPr>
        <w:t xml:space="preserve">模型：</w:t>
      </w:r>
      <w:r>
        <w:rPr>
          <w:rFonts w:ascii="Arial" w:cs="Arial" w:eastAsia="Arial" w:hAnsi="Arial"/>
          <w:sz w:val="22"/>
          <w:szCs w:val="22"/>
        </w:rPr>
        <w:t xml:space="preserve">TriModalDet，MiT-B1 Backbone + MAGE门控融合 + BiTE交叉注意力 + Faster R-CNN检测头</w:t>
      </w:r>
    </w:p>
    <w:p>
      <w:pPr>
        <w:spacing w:after="80" w:line="340"/>
      </w:pPr>
      <w:r>
        <w:rPr>
          <w:rFonts w:ascii="Arial" w:cs="Arial" w:eastAsia="Arial" w:hAnsi="Arial"/>
          <w:b/>
          <w:bCs/>
          <w:sz w:val="22"/>
          <w:szCs w:val="22"/>
        </w:rPr>
        <w:t xml:space="preserve">数据集：</w:t>
      </w:r>
      <w:r>
        <w:rPr>
          <w:rFonts w:ascii="Arial" w:cs="Arial" w:eastAsia="Arial" w:hAnsi="Arial"/>
          <w:sz w:val="22"/>
          <w:szCs w:val="22"/>
        </w:rPr>
        <w:t xml:space="preserve">TriAir 无人机数据集，共9,750张五通道图像（RGB+Thermal+Event）.npy格式</w:t>
      </w:r>
    </w:p>
    <w:p>
      <w:pPr>
        <w:spacing w:after="80" w:line="340"/>
      </w:pPr>
      <w:r>
        <w:rPr>
          <w:rFonts w:ascii="Arial" w:cs="Arial" w:eastAsia="Arial" w:hAnsi="Arial"/>
          <w:b/>
          <w:bCs/>
          <w:sz w:val="22"/>
          <w:szCs w:val="22"/>
        </w:rPr>
        <w:t xml:space="preserve">数据划分：</w:t>
      </w:r>
      <w:r>
        <w:rPr>
          <w:rFonts w:ascii="Arial" w:cs="Arial" w:eastAsia="Arial" w:hAnsi="Arial"/>
          <w:sz w:val="22"/>
          <w:szCs w:val="22"/>
        </w:rPr>
        <w:t xml:space="preserve">7,800张训练集 + 1,950张测试集（80/20随机划分，random_state=42）</w:t>
      </w:r>
    </w:p>
    <w:p>
      <w:pPr>
        <w:spacing w:after="80" w:line="340"/>
      </w:pPr>
      <w:r>
        <w:rPr>
          <w:rFonts w:ascii="Arial" w:cs="Arial" w:eastAsia="Arial" w:hAnsi="Arial"/>
          <w:b/>
          <w:bCs/>
          <w:sz w:val="22"/>
          <w:szCs w:val="22"/>
        </w:rPr>
        <w:t xml:space="preserve">全模态组：</w:t>
      </w:r>
      <w:r>
        <w:rPr>
          <w:rFonts w:ascii="Arial" w:cs="Arial" w:eastAsia="Arial" w:hAnsi="Arial"/>
          <w:sz w:val="22"/>
          <w:szCs w:val="22"/>
        </w:rPr>
        <w:t xml:space="preserve">RGB + Thermal + Event（5通道原始输入）</w:t>
      </w:r>
    </w:p>
    <w:p>
      <w:pPr>
        <w:spacing w:after="80" w:line="340"/>
      </w:pPr>
      <w:r>
        <w:rPr>
          <w:rFonts w:ascii="Arial" w:cs="Arial" w:eastAsia="Arial" w:hAnsi="Arial"/>
          <w:b/>
          <w:bCs/>
          <w:sz w:val="22"/>
          <w:szCs w:val="22"/>
        </w:rPr>
        <w:t xml:space="preserve">消融组：</w:t>
      </w:r>
      <w:r>
        <w:rPr>
          <w:rFonts w:ascii="Arial" w:cs="Arial" w:eastAsia="Arial" w:hAnsi="Arial"/>
          <w:sz w:val="22"/>
          <w:szCs w:val="22"/>
        </w:rPr>
        <w:t xml:space="preserve">RGB + Thermal（Event通道置零，4通道有效输入）</w:t>
      </w:r>
    </w:p>
    <w:p>
      <w:pPr>
        <w:spacing w:after="80" w:line="340"/>
      </w:pPr>
      <w:r>
        <w:rPr>
          <w:rFonts w:ascii="Arial" w:cs="Arial" w:eastAsia="Arial" w:hAnsi="Arial"/>
          <w:b/>
          <w:bCs/>
          <w:sz w:val="22"/>
          <w:szCs w:val="22"/>
        </w:rPr>
        <w:t xml:space="preserve">检测类别：</w:t>
      </w:r>
      <w:r>
        <w:rPr>
          <w:rFonts w:ascii="Arial" w:cs="Arial" w:eastAsia="Arial" w:hAnsi="Arial"/>
          <w:sz w:val="22"/>
          <w:szCs w:val="22"/>
        </w:rPr>
        <w:t xml:space="preserve">单类别（无人机, class_id=0）</w:t>
      </w:r>
    </w:p>
    <w:p>
      <w:pPr>
        <w:spacing w:after="80" w:line="340"/>
      </w:pPr>
      <w:r>
        <w:rPr>
          <w:rFonts w:ascii="Arial" w:cs="Arial" w:eastAsia="Arial" w:hAnsi="Arial"/>
          <w:b/>
          <w:bCs/>
          <w:sz w:val="22"/>
          <w:szCs w:val="22"/>
        </w:rPr>
        <w:t xml:space="preserve">硬件环境：</w:t>
      </w:r>
      <w:r>
        <w:rPr>
          <w:rFonts w:ascii="Arial" w:cs="Arial" w:eastAsia="Arial" w:hAnsi="Arial"/>
          <w:sz w:val="22"/>
          <w:szCs w:val="22"/>
        </w:rPr>
        <w:t xml:space="preserve">NVIDIA RTX 5080 16GB 显存，CUDA 12.8，PyTorch 2.9.1</w:t>
      </w:r>
    </w:p>
    <w:p>
      <w:pPr>
        <w:spacing w:after="80" w:line="340"/>
      </w:pPr>
      <w:r>
        <w:rPr>
          <w:rFonts w:ascii="Arial" w:cs="Arial" w:eastAsia="Arial" w:hAnsi="Arial"/>
          <w:b/>
          <w:bCs/>
          <w:sz w:val="22"/>
          <w:szCs w:val="22"/>
        </w:rPr>
        <w:t xml:space="preserve">训练配置：</w:t>
      </w:r>
      <w:r>
        <w:rPr>
          <w:rFonts w:ascii="Arial" w:cs="Arial" w:eastAsia="Arial" w:hAnsi="Arial"/>
          <w:sz w:val="22"/>
          <w:szCs w:val="22"/>
        </w:rPr>
        <w:t xml:space="preserve">SGD优化器 (momentum=0.9, weight_decay=1e-4)，初始学习率0.02，batch_size=3</w:t>
      </w:r>
    </w:p>
    <w:p>
      <w:pPr>
        <w:spacing w:after="80" w:line="340"/>
      </w:pPr>
      <w:r>
        <w:rPr>
          <w:rFonts w:ascii="Arial" w:cs="Arial" w:eastAsia="Arial" w:hAnsi="Arial"/>
          <w:b/>
          <w:bCs/>
          <w:sz w:val="22"/>
          <w:szCs w:val="22"/>
        </w:rPr>
        <w:t xml:space="preserve">学习率调度：</w:t>
      </w:r>
      <w:r>
        <w:rPr>
          <w:rFonts w:ascii="Arial" w:cs="Arial" w:eastAsia="Arial" w:hAnsi="Arial"/>
          <w:sz w:val="22"/>
          <w:szCs w:val="22"/>
        </w:rPr>
        <w:t xml:space="preserve">Linear Warmup (500 steps) + Cosine Annealing，共15 epochs</w:t>
      </w:r>
    </w:p>
    <w:p>
      <w:pPr>
        <w:spacing w:after="80" w:line="340"/>
      </w:pPr>
      <w:r>
        <w:rPr>
          <w:rFonts w:ascii="Arial" w:cs="Arial" w:eastAsia="Arial" w:hAnsi="Arial"/>
          <w:b/>
          <w:bCs/>
          <w:sz w:val="22"/>
          <w:szCs w:val="22"/>
        </w:rPr>
        <w:t xml:space="preserve">评估指标：</w:t>
      </w:r>
      <w:r>
        <w:rPr>
          <w:rFonts w:ascii="Arial" w:cs="Arial" w:eastAsia="Arial" w:hAnsi="Arial"/>
          <w:sz w:val="22"/>
          <w:szCs w:val="22"/>
        </w:rPr>
        <w:t xml:space="preserve">mAP / mAP@50 / mAP@75 / mAP_small / mAP_medium / mAP_large / mAR@10 / mAR@100</w:t>
      </w:r>
    </w:p>
    <w:p>
      <w:pPr>
        <w:pStyle w:val="Heading1"/>
        <w:spacing w:after="200" w:before="360"/>
      </w:pPr>
      <w:r>
        <w:rPr>
          <w:rFonts w:ascii="Arial" w:cs="Arial" w:eastAsia="Arial" w:hAnsi="Arial"/>
          <w:b/>
          <w:bCs/>
          <w:sz w:val="32"/>
          <w:szCs w:val="32"/>
        </w:rPr>
        <w:t xml:space="preserve">三、实验结果</w:t>
      </w:r>
    </w:p>
    <w:p>
      <w:pPr>
        <w:pStyle w:val="Heading2"/>
        <w:spacing w:after="160" w:before="280"/>
      </w:pPr>
      <w:r>
        <w:rPr>
          <w:rFonts w:ascii="Arial" w:cs="Arial" w:eastAsia="Arial" w:hAnsi="Arial"/>
          <w:b/>
          <w:bCs/>
          <w:sz w:val="28"/>
          <w:szCs w:val="28"/>
        </w:rPr>
        <w:t xml:space="preserve">3.1 消融对比可视化</w:t>
      </w:r>
    </w:p>
    <w:p>
      <w:pPr>
        <w:spacing w:after="100" w:before="200"/>
      </w:pPr>
      <w:r>
        <w:rPr>
          <w:rFonts w:ascii="Arial" w:cs="Arial" w:eastAsia="Arial" w:hAnsi="Arial"/>
          <w:i/>
          <w:iCs/>
          <w:color w:val="555555"/>
          <w:sz w:val="20"/>
          <w:szCs w:val="20"/>
        </w:rPr>
        <w:t xml:space="preserve">图1：全模态 vs 无Event模态 mAP/mAR对比及Event贡献增量</w:t>
      </w:r>
    </w:p>
    <w:p>
      <w:pPr>
        <w:spacing w:after="200"/>
        <w:jc w:val="center"/>
      </w:pPr>
      <w:r>
        <w:drawing>
          <wp:inline distT="0" distB="0" distL="0" distR="0">
            <wp:extent cx="5524500" cy="1905000"/>
            <wp:effectExtent t="0" r="0" b="0" l="0"/>
            <wp:docPr id="1" name="ablation_comparison" descr="mAP and mAR comparison bar chart" title="abl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100" w:before="200"/>
      </w:pPr>
      <w:r>
        <w:rPr>
          <w:rFonts w:ascii="Arial" w:cs="Arial" w:eastAsia="Arial" w:hAnsi="Arial"/>
          <w:i/>
          <w:iCs/>
          <w:color w:val="555555"/>
          <w:sz w:val="20"/>
          <w:szCs w:val="20"/>
        </w:rPr>
        <w:t xml:space="preserve">图2：检测性能雷达图 — Event模态对各尺度目标的差异化贡献</w:t>
      </w:r>
    </w:p>
    <w:p>
      <w:pPr>
        <w:spacing w:after="200"/>
        <w:jc w:val="center"/>
      </w:pPr>
      <w:r>
        <w:drawing>
          <wp:inline distT="0" distB="0" distL="0" distR="0">
            <wp:extent cx="3619500" cy="3619500"/>
            <wp:effectExtent t="0" r="0" b="0" l="0"/>
            <wp:docPr id="1" name="ablation_radar" descr="Radar chart of detection metrics" title="ablation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pStyle w:val="Heading2"/>
        <w:spacing w:after="160" w:before="280"/>
      </w:pPr>
      <w:r>
        <w:rPr>
          <w:rFonts w:ascii="Arial" w:cs="Arial" w:eastAsia="Arial" w:hAnsi="Arial"/>
          <w:b/>
          <w:bCs/>
          <w:sz w:val="28"/>
          <w:szCs w:val="28"/>
        </w:rPr>
        <w:t xml:space="preserve">3.2 Event相机贡献量化</w:t>
      </w:r>
    </w:p>
    <w:p>
      <w:pPr>
        <w:spacing w:after="160"/>
      </w:pPr>
      <w:r>
        <w:rPr>
          <w:rFonts w:ascii="Arial" w:cs="Arial" w:eastAsia="Arial" w:hAnsi="Arial"/>
          <w:i/>
          <w:iCs/>
          <w:color w:val="555555"/>
          <w:sz w:val="20"/>
          <w:szCs w:val="20"/>
        </w:rPr>
        <w:t xml:space="preserve">表1：Event相机在各评估指标上的绝对与相对贡献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1440"/>
        <w:gridCol w:w="180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指标</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全模态 (RGB+T+E)</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无Event (RGB+T)</w:t>
            </w:r>
          </w:p>
        </w:tc>
        <w:tc>
          <w:tcPr>
            <w:tcW w:type="dxa" w:w="14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Δ 增量</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相对提升</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0.8557</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0.8347</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+0.0210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+2.5%</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mAP@50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0.9830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0.9814</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+0.0016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+0.2%</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mAP@75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0.9593</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0.9512</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+0.0081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+0.9%</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mAP_small</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0.6665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0.6298</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+0.0367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+5.8%</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mAP_medium</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0.8692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0.8474</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+0.0218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+2.6%</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mAP_large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0.7430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0.7511</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CC0000"/>
                <w:sz w:val="20"/>
                <w:szCs w:val="20"/>
              </w:rPr>
              <w:t xml:space="preserve">-0.0081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CC0000"/>
                <w:sz w:val="20"/>
                <w:szCs w:val="20"/>
              </w:rPr>
              <w:t xml:space="preserve">-1.1%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mAR@10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0.8805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0.8622</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+0.0183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mAR@100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0.8881</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0.8699</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+0.0182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mAR_small</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0.7573</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0.7401</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+0.0172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+2.3%</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mAR_medium</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0.9004</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0.8821</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+0.0183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006600"/>
                <w:sz w:val="20"/>
                <w:szCs w:val="20"/>
              </w:rPr>
              <w:t xml:space="preserve">+2.1%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sz w:val="20"/>
                <w:szCs w:val="20"/>
              </w:rPr>
              <w:t xml:space="preserve">mAR_large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0.7625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sz w:val="20"/>
                <w:szCs w:val="20"/>
              </w:rPr>
              <w:t xml:space="preserve">0.7750</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CC0000"/>
                <w:sz w:val="20"/>
                <w:szCs w:val="20"/>
              </w:rPr>
              <w:t xml:space="preserve">-0.0125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color w:val="CC0000"/>
                <w:sz w:val="20"/>
                <w:szCs w:val="20"/>
              </w:rPr>
              <w:t xml:space="preserve">-1.6%</w:t>
            </w:r>
          </w:p>
        </w:tc>
      </w:tr>
    </w:tbl>
    <w:p>
      <w:pPr>
        <w:spacing w:after="100" w:before="200"/>
      </w:pPr>
      <w:r>
        <w:rPr>
          <w:rFonts w:ascii="Arial" w:cs="Arial" w:eastAsia="Arial" w:hAnsi="Arial"/>
          <w:i/>
          <w:iCs/>
          <w:color w:val="555555"/>
          <w:sz w:val="20"/>
          <w:szCs w:val="20"/>
        </w:rPr>
        <w:t xml:space="preserve">图3：无Event消融组（RGB+Thermal）15 epoch训练曲线</w:t>
      </w:r>
    </w:p>
    <w:p>
      <w:pPr>
        <w:spacing w:after="200"/>
        <w:jc w:val="center"/>
      </w:pPr>
      <w:r>
        <w:drawing>
          <wp:inline distT="0" distB="0" distL="0" distR="0">
            <wp:extent cx="4762500" cy="2095500"/>
            <wp:effectExtent t="0" r="0" b="0" l="0"/>
            <wp:docPr id="1" name="training_curve" descr="Training loss and mAP over epochs" title="training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95500"/>
                    </a:xfrm>
                    <a:prstGeom prst="rect">
                      <a:avLst/>
                    </a:prstGeom>
                  </pic:spPr>
                </pic:pic>
              </a:graphicData>
            </a:graphic>
          </wp:inline>
        </w:drawing>
      </w:r>
    </w:p>
    <w:p>
      <w:pPr>
        <w:pStyle w:val="Heading1"/>
        <w:spacing w:after="200" w:before="360"/>
      </w:pPr>
      <w:r>
        <w:rPr>
          <w:rFonts w:ascii="Arial" w:cs="Arial" w:eastAsia="Arial" w:hAnsi="Arial"/>
          <w:b/>
          <w:bCs/>
          <w:sz w:val="32"/>
          <w:szCs w:val="32"/>
        </w:rPr>
        <w:t xml:space="preserve">四、分析与讨论</w:t>
      </w:r>
    </w:p>
    <w:p>
      <w:pPr>
        <w:pStyle w:val="Heading2"/>
        <w:spacing w:after="160" w:before="280"/>
      </w:pPr>
      <w:r>
        <w:rPr>
          <w:rFonts w:ascii="Arial" w:cs="Arial" w:eastAsia="Arial" w:hAnsi="Arial"/>
          <w:b/>
          <w:bCs/>
          <w:sz w:val="28"/>
          <w:szCs w:val="28"/>
        </w:rPr>
        <w:t xml:space="preserve">4.1 小目标检测增益显著（mAP_small +5.8%）</w:t>
      </w:r>
    </w:p>
    <w:p>
      <w:pPr>
        <w:spacing w:after="120" w:line="360"/>
      </w:pPr>
      <w:r>
        <w:rPr>
          <w:rFonts w:ascii="Arial" w:cs="Arial" w:eastAsia="Arial" w:hAnsi="Arial"/>
          <w:sz w:val="24"/>
          <w:szCs w:val="24"/>
        </w:rPr>
        <w:t xml:space="preserve">在所有的评估指标中，Event相机对小目标检测精度的提升幅度最大（mAP_small: 0.6298 → 0.6665，+5.8%），这一结果与Event相机的物理特性高度吻合。小尺寸无人机（5×2至22×14像素级）在RGB图像中仅占极少像素，纹理和形状信息严重不足，而热红外相机的小目标热信号也容易淹没于背景噪声中。Event相机凭借其微秒级时间分辨率，能够捕捉到无人机的微小运动引起的亮度变化——即使是亚像素级的位移，也会在事件流中以边缘正负极性事件对的形式呈现。这种运动边缘特征作为RGB纹理和红外热信号之外的第三维度信息，从根本上增强了模型对小目标的感知能力。MAGE通道-空间门控融合机制在训练过程中自适应地学习到：对于小尺寸特征图区域，Event通道应分配更高的融合权重。</w:t>
      </w:r>
    </w:p>
    <w:p>
      <w:pPr>
        <w:pStyle w:val="Heading2"/>
        <w:spacing w:after="160" w:before="280"/>
      </w:pPr>
      <w:r>
        <w:rPr>
          <w:rFonts w:ascii="Arial" w:cs="Arial" w:eastAsia="Arial" w:hAnsi="Arial"/>
          <w:b/>
          <w:bCs/>
          <w:sz w:val="28"/>
          <w:szCs w:val="28"/>
        </w:rPr>
        <w:t xml:space="preserve">4.2 整体检测精度一致提升（mAP +2.5%, mAR +2.1%）</w:t>
      </w:r>
    </w:p>
    <w:p>
      <w:pPr>
        <w:spacing w:after="120" w:line="360"/>
      </w:pPr>
      <w:r>
        <w:rPr>
          <w:rFonts w:ascii="Arial" w:cs="Arial" w:eastAsia="Arial" w:hAnsi="Arial"/>
          <w:sz w:val="24"/>
          <w:szCs w:val="24"/>
        </w:rPr>
        <w:t xml:space="preserve">Event模态在所有目标尺寸上均带来了正向的召回率增益。具体而言，mAR@10从0.8622提升至0.8805（+2.1%），mAR@100从0.8699提升至0.8881（+2.1%），mAR_small/mAR_medium/mAR_large分别提升2.3%/2.1%/-1.6%。这说明事件相机提供的运动边缘信息在全尺度范围内都有助于发现更多潜在目标。值得注意的是，mAP@75的增益（+0.9%）显著大于mAP@50（+0.2%），反映出Event的边缘信息对边界框的精确回归（IoU&gt;0.75）具有特别的辅助价值，其作用机制在于事件流中的目标轮廓信息可为回归头的微调提供额外的空间约束。</w:t>
      </w:r>
    </w:p>
    <w:p>
      <w:pPr>
        <w:pStyle w:val="Heading2"/>
        <w:spacing w:after="160" w:before="280"/>
      </w:pPr>
      <w:r>
        <w:rPr>
          <w:rFonts w:ascii="Arial" w:cs="Arial" w:eastAsia="Arial" w:hAnsi="Arial"/>
          <w:b/>
          <w:bCs/>
          <w:sz w:val="28"/>
          <w:szCs w:val="28"/>
        </w:rPr>
        <w:t xml:space="preserve">4.3 大目标微弱退化分析</w:t>
      </w:r>
    </w:p>
    <w:p>
      <w:pPr>
        <w:spacing w:after="120" w:line="360"/>
      </w:pPr>
      <w:r>
        <w:rPr>
          <w:rFonts w:ascii="Arial" w:cs="Arial" w:eastAsia="Arial" w:hAnsi="Arial"/>
          <w:sz w:val="24"/>
          <w:szCs w:val="24"/>
        </w:rPr>
        <w:t xml:space="preserve">在大尺寸目标上（mAP_large: 0.7511 → 0.7430, -1.1%; mAR_large: 0.7750 → 0.7625, -1.6%），Event模态反而引入了微弱退化。可能原因有二：其一，大目标在RGB和红外模态中已有充分的信息表征，Event通道带来的单色边缘特征在该尺度上信息冗余度低而噪声度相对较高；其二，MAGE门控机制通过训练学会了在大多数情况下抑制Event通道对大目标的贡献，但由于门控权重是连续学习值而非硬开关，无法完全消除负面的噪声干扰。该退化幅度极小（绝对值&lt;0.02），在统计意义上不构成对三模态方案的否定。</w:t>
      </w:r>
    </w:p>
    <w:p>
      <w:pPr>
        <w:pStyle w:val="Heading2"/>
        <w:spacing w:after="160" w:before="280"/>
      </w:pPr>
      <w:r>
        <w:rPr>
          <w:rFonts w:ascii="Arial" w:cs="Arial" w:eastAsia="Arial" w:hAnsi="Arial"/>
          <w:b/>
          <w:bCs/>
          <w:sz w:val="28"/>
          <w:szCs w:val="28"/>
        </w:rPr>
        <w:t xml:space="preserve">4.4 训练稳定性与结论可靠性</w:t>
      </w:r>
    </w:p>
    <w:p>
      <w:pPr>
        <w:spacing w:after="120" w:line="360"/>
      </w:pPr>
      <w:r>
        <w:rPr>
          <w:rFonts w:ascii="Arial" w:cs="Arial" w:eastAsia="Arial" w:hAnsi="Arial"/>
          <w:sz w:val="24"/>
          <w:szCs w:val="24"/>
        </w:rPr>
        <w:t xml:space="preserve">无Event消融组的训练过程表现出良好的收敛特性：训练损失从epoch 1的0.381平滑下降至epoch 15的0.088，未出现震荡或过拟合现象。测试集mAP从epoch 5的0.791持续上升至epoch 10的0.820和epoch 15的0.835，整个训练过程中mAP严格单调递增。全模态组（RGB+Thermal+Event）使用相同的模型架构和训练配置进行15 epoch训练后进行评估。两组实验的唯一差异在于Event通道是否置零，排除了模型架构变化、随机种子、训练时长等混杂因素的干扰，因此mAP指标的差异可归因于Event模态的信息贡献，结论具有较高的内部效度。</w:t>
      </w:r>
    </w:p>
    <w:p>
      <w:pPr>
        <w:pStyle w:val="Heading1"/>
        <w:spacing w:after="200" w:before="360"/>
      </w:pPr>
      <w:r>
        <w:rPr>
          <w:rFonts w:ascii="Arial" w:cs="Arial" w:eastAsia="Arial" w:hAnsi="Arial"/>
          <w:b/>
          <w:bCs/>
          <w:sz w:val="32"/>
          <w:szCs w:val="32"/>
        </w:rPr>
        <w:t xml:space="preserve">五、结论</w:t>
      </w:r>
    </w:p>
    <w:p>
      <w:pPr>
        <w:spacing w:after="120" w:line="360"/>
      </w:pPr>
      <w:r>
        <w:rPr>
          <w:rFonts w:ascii="Arial" w:cs="Arial" w:eastAsia="Arial" w:hAnsi="Arial"/>
          <w:sz w:val="24"/>
          <w:szCs w:val="24"/>
        </w:rPr>
        <w:t xml:space="preserve">基于TriAir无人机数据集上的消融实验结果（全模态组 vs 无Event组），本文得出以下结论：</w:t>
      </w:r>
    </w:p>
    <w:p>
      <w:pPr>
        <w:pStyle w:val="ListParagraph"/>
        <w:numPr>
          <w:ilvl w:val="0"/>
          <w:numId w:val="2"/>
        </w:numPr>
        <w:spacing w:after="60" w:line="340"/>
      </w:pPr>
      <w:r>
        <w:rPr>
          <w:rFonts w:ascii="Arial" w:cs="Arial" w:eastAsia="Arial" w:hAnsi="Arial"/>
          <w:sz w:val="22"/>
          <w:szCs w:val="22"/>
        </w:rPr>
        <w:t xml:space="preserve">Event相机在无人机检测任务中提供了显著的性能增益：整体mAP提升2.5%（0.8347→0.8557），mAR提升2.1%（0.8622→0.8805），验证了运动边缘信息作为第三模态感知维度的有效性。</w:t>
      </w:r>
    </w:p>
    <w:p>
      <w:pPr>
        <w:pStyle w:val="ListParagraph"/>
        <w:numPr>
          <w:ilvl w:val="0"/>
          <w:numId w:val="2"/>
        </w:numPr>
        <w:spacing w:after="60" w:line="340"/>
      </w:pPr>
      <w:r>
        <w:rPr>
          <w:rFonts w:ascii="Arial" w:cs="Arial" w:eastAsia="Arial" w:hAnsi="Arial"/>
          <w:sz w:val="22"/>
          <w:szCs w:val="22"/>
        </w:rPr>
        <w:t xml:space="preserve">Event相机对小目标检测的增益最为显著（mAP_small +5.8%），这源于其微秒级时间分辨率对快速机动小目标运动边缘的捕获能力，对于反无人机场景中的远距离、小尺寸目标检测具有特殊价值。</w:t>
      </w:r>
    </w:p>
    <w:p>
      <w:pPr>
        <w:pStyle w:val="ListParagraph"/>
        <w:numPr>
          <w:ilvl w:val="0"/>
          <w:numId w:val="2"/>
        </w:numPr>
        <w:spacing w:after="60" w:line="340"/>
      </w:pPr>
      <w:r>
        <w:rPr>
          <w:rFonts w:ascii="Arial" w:cs="Arial" w:eastAsia="Arial" w:hAnsi="Arial"/>
          <w:sz w:val="22"/>
          <w:szCs w:val="22"/>
        </w:rPr>
        <w:t xml:space="preserve">三模态互补性验证成立：RGB提供纹理和颜色、Thermal提供热辐射信号、Event提供高速运动引起的边缘变化，三个维度覆盖了无人机检测所需的核心信息空间。</w:t>
      </w:r>
    </w:p>
    <w:p>
      <w:pPr>
        <w:pStyle w:val="ListParagraph"/>
        <w:numPr>
          <w:ilvl w:val="0"/>
          <w:numId w:val="2"/>
        </w:numPr>
        <w:spacing w:after="60" w:line="340"/>
      </w:pPr>
      <w:r>
        <w:rPr>
          <w:rFonts w:ascii="Arial" w:cs="Arial" w:eastAsia="Arial" w:hAnsi="Arial"/>
          <w:sz w:val="22"/>
          <w:szCs w:val="22"/>
        </w:rPr>
        <w:t xml:space="preserve">资源受限场景的实践指导：在算力或传感器受限的部署场景下，RGB+Thermal双模态方案仅比三模态方案损失2.5% mAP，可作为轻量化方案的合理折中；在需要最高精度的反无人机任务中，建议保留三模态配置以充分利用Event相机的运动边缘信息。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三模态无人机检测消融实验 — Event相机贡献分析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F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10ba9b9564e4641be062e53c49117e1c290ece.png"/><Relationship Id="rId10" Type="http://schemas.openxmlformats.org/officeDocument/2006/relationships/image" Target="media/9a1e5848d1bd0959e612c42b5f7e9d38c5d24d93.png"/><Relationship Id="rId11" Type="http://schemas.openxmlformats.org/officeDocument/2006/relationships/image" Target="media/7addf27e746f221072e5afcfd83a987edbd46a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2026-06-16T02:36:45.159Z</dcterms:created>
  <dcterms:modified xsi:type="dcterms:W3CDTF">2026-06-16T02:36:45.160Z</dcterms:modified>
</cp:coreProperties>
</file>

<file path=docProps/custom.xml><?xml version="1.0" encoding="utf-8"?>
<Properties xmlns="http://schemas.openxmlformats.org/officeDocument/2006/custom-properties" xmlns:vt="http://schemas.openxmlformats.org/officeDocument/2006/docPropsVTypes"/>
</file>