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67d6b8572b57467625f490f677a4b6fc4a2391"/>
    <w:p>
      <w:pPr>
        <w:pStyle w:val="Heading1"/>
      </w:pPr>
      <w:r>
        <w:t xml:space="preserve">Output Type × Tone × Format Combination Matrix</w:t>
      </w:r>
    </w:p>
    <w:p>
      <w:pPr>
        <w:pStyle w:val="BlockText"/>
      </w:pPr>
      <w:r>
        <w:t xml:space="preserve">A comprehensive analysis of optimal combinations for the Intelligent Prompt Builder</w:t>
      </w:r>
    </w:p>
    <w:bookmarkStart w:id="21" w:name="overview"/>
    <w:p>
      <w:pPr>
        <w:pStyle w:val="Heading2"/>
      </w:pPr>
      <w:r>
        <w:t xml:space="preserve">Overview</w:t>
      </w:r>
    </w:p>
    <w:p>
      <w:pPr>
        <w:pStyle w:val="FirstParagraph"/>
      </w:pPr>
      <w:r>
        <w:t xml:space="preserve">This document analyzes the 270 possible combinations of output types, tones, and formats available in the Prompt Builder. It identifies the most effective pairings for specific use cases, including non-obvious combinations that yield exceptional results.</w:t>
      </w:r>
    </w:p>
    <w:bookmarkStart w:id="20" w:name="available-options"/>
    <w:p>
      <w:pPr>
        <w:pStyle w:val="Heading3"/>
      </w:pPr>
      <w:r>
        <w:t xml:space="preserve">Available Options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Options</w:t>
            </w:r>
          </w:p>
        </w:tc>
      </w:tr>
      <w:tr>
        <w:tc>
          <w:tcPr/>
          <w:p>
            <w:pPr>
              <w:pStyle w:val="Compact"/>
            </w:pPr>
            <w:r>
              <w:rPr>
                <w:b/>
                <w:bCs/>
              </w:rPr>
              <w:t xml:space="preserve">Output Types</w:t>
            </w:r>
          </w:p>
        </w:tc>
        <w:tc>
          <w:tcPr/>
          <w:p>
            <w:pPr>
              <w:pStyle w:val="Compact"/>
            </w:pPr>
            <w:r>
              <w:t xml:space="preserve">Deck, Doc, Data, Code, Copy, Comms</w:t>
            </w:r>
          </w:p>
        </w:tc>
      </w:tr>
      <w:tr>
        <w:tc>
          <w:tcPr/>
          <w:p>
            <w:pPr>
              <w:pStyle w:val="Compact"/>
            </w:pPr>
            <w:r>
              <w:rPr>
                <w:b/>
                <w:bCs/>
              </w:rPr>
              <w:t xml:space="preserve">Tones</w:t>
            </w:r>
          </w:p>
        </w:tc>
        <w:tc>
          <w:tcPr/>
          <w:p>
            <w:pPr>
              <w:pStyle w:val="Compact"/>
            </w:pPr>
            <w:r>
              <w:t xml:space="preserve">Professional, Creative, Academic, Casual, Instructive</w:t>
            </w:r>
          </w:p>
        </w:tc>
      </w:tr>
      <w:tr>
        <w:tc>
          <w:tcPr/>
          <w:p>
            <w:pPr>
              <w:pStyle w:val="Compact"/>
            </w:pPr>
            <w:r>
              <w:rPr>
                <w:b/>
                <w:bCs/>
              </w:rPr>
              <w:t xml:space="preserve">Formats</w:t>
            </w:r>
          </w:p>
        </w:tc>
        <w:tc>
          <w:tcPr/>
          <w:p>
            <w:pPr>
              <w:pStyle w:val="Compact"/>
            </w:pPr>
            <w:r>
              <w:t xml:space="preserve">Paragraph, Bullets, Numbered, Steps, Sections, JSON, Email, Table, Q&amp;A</w:t>
            </w:r>
          </w:p>
        </w:tc>
      </w:tr>
    </w:tbl>
    <w:p>
      <w:r>
        <w:pict>
          <v:rect style="width:0;height:1.5pt" o:hralign="center" o:hrstd="t" o:hr="t"/>
        </w:pict>
      </w:r>
    </w:p>
    <w:bookmarkEnd w:id="20"/>
    <w:bookmarkEnd w:id="21"/>
    <w:bookmarkStart w:id="23" w:name="deck-slide-presentations"/>
    <w:p>
      <w:pPr>
        <w:pStyle w:val="Heading2"/>
      </w:pPr>
      <w:r>
        <w:t xml:space="preserve">Deck (Slide Presentations)</w:t>
      </w:r>
    </w:p>
    <w:p>
      <w:pPr>
        <w:pStyle w:val="FirstParagraph"/>
      </w:pPr>
      <w:r>
        <w:t xml:space="preserve">Slide decks require scannable content with clear visual hierarchy. The format choice significantly impacts how well content translates to slides.</w:t>
      </w:r>
    </w:p>
    <w:tbl>
      <w:tblPr>
        <w:tblStyle w:val="Table"/>
        <w:tblW w:type="pct" w:w="5000"/>
        <w:tblLayout w:type="fixed"/>
        <w:tblLook w:firstRow="1" w:lastRow="0" w:firstColumn="0" w:lastColumn="0" w:noHBand="0" w:noVBand="0" w:val="0020"/>
      </w:tblPr>
      <w:tblGrid>
        <w:gridCol w:w="1357"/>
        <w:gridCol w:w="3168"/>
        <w:gridCol w:w="3394"/>
      </w:tblGrid>
      <w:tr>
        <w:trPr>
          <w:tblHeader w:val="on"/>
        </w:trPr>
        <w:tc>
          <w:tcPr/>
          <w:p>
            <w:pPr>
              <w:pStyle w:val="Compact"/>
            </w:pPr>
            <w:r>
              <w:t xml:space="preserve">Tone</w:t>
            </w:r>
          </w:p>
        </w:tc>
        <w:tc>
          <w:tcPr/>
          <w:p>
            <w:pPr>
              <w:pStyle w:val="Compact"/>
            </w:pPr>
            <w:r>
              <w:t xml:space="preserve">Best Formats</w:t>
            </w:r>
          </w:p>
        </w:tc>
        <w:tc>
          <w:tcPr/>
          <w:p>
            <w:pPr>
              <w:pStyle w:val="Compact"/>
            </w:pPr>
            <w:r>
              <w:t xml:space="preserve">Top Use Cases</w:t>
            </w:r>
          </w:p>
        </w:tc>
      </w:tr>
      <w:tr>
        <w:tc>
          <w:tcPr/>
          <w:p>
            <w:pPr>
              <w:pStyle w:val="Compact"/>
            </w:pPr>
            <w:r>
              <w:rPr>
                <w:b/>
                <w:bCs/>
              </w:rPr>
              <w:t xml:space="preserve">Professional</w:t>
            </w:r>
          </w:p>
        </w:tc>
        <w:tc>
          <w:tcPr/>
          <w:p>
            <w:pPr>
              <w:pStyle w:val="Compact"/>
            </w:pPr>
            <w:r>
              <w:t xml:space="preserve">Bullets, Sections</w:t>
            </w:r>
          </w:p>
        </w:tc>
        <w:tc>
          <w:tcPr/>
          <w:p>
            <w:pPr>
              <w:pStyle w:val="Compact"/>
            </w:pPr>
            <w:r>
              <w:t xml:space="preserve">1. Board presentations – quarterly results, strategic updates</w:t>
            </w:r>
            <w:r>
              <w:t xml:space="preserve">2. Client pitches – proposals, capability decks</w:t>
            </w:r>
          </w:p>
        </w:tc>
      </w:tr>
      <w:tr>
        <w:tc>
          <w:tcPr/>
          <w:p>
            <w:pPr>
              <w:pStyle w:val="Compact"/>
            </w:pPr>
            <w:r>
              <w:rPr>
                <w:b/>
                <w:bCs/>
              </w:rPr>
              <w:t xml:space="preserve">Creative</w:t>
            </w:r>
          </w:p>
        </w:tc>
        <w:tc>
          <w:tcPr/>
          <w:p>
            <w:pPr>
              <w:pStyle w:val="Compact"/>
            </w:pPr>
            <w:r>
              <w:t xml:space="preserve">Bullets, Sections</w:t>
            </w:r>
          </w:p>
        </w:tc>
        <w:tc>
          <w:tcPr/>
          <w:p>
            <w:pPr>
              <w:pStyle w:val="Compact"/>
            </w:pPr>
            <w:r>
              <w:t xml:space="preserve">1. Product launches – storytelling-driven reveals</w:t>
            </w:r>
            <w:r>
              <w:t xml:space="preserve">2. Brand campaigns – mood boards, creative briefs</w:t>
            </w:r>
          </w:p>
        </w:tc>
      </w:tr>
      <w:tr>
        <w:tc>
          <w:tcPr/>
          <w:p>
            <w:pPr>
              <w:pStyle w:val="Compact"/>
            </w:pPr>
            <w:r>
              <w:rPr>
                <w:b/>
                <w:bCs/>
              </w:rPr>
              <w:t xml:space="preserve">Academic</w:t>
            </w:r>
          </w:p>
        </w:tc>
        <w:tc>
          <w:tcPr/>
          <w:p>
            <w:pPr>
              <w:pStyle w:val="Compact"/>
            </w:pPr>
            <w:r>
              <w:t xml:space="preserve">Bullets, Numbered</w:t>
            </w:r>
          </w:p>
        </w:tc>
        <w:tc>
          <w:tcPr/>
          <w:p>
            <w:pPr>
              <w:pStyle w:val="Compact"/>
            </w:pPr>
            <w:r>
              <w:t xml:space="preserve">1. Conference talks – research findings, methodology</w:t>
            </w:r>
            <w:r>
              <w:t xml:space="preserve">2. Thesis defenses – structured argument progression</w:t>
            </w:r>
          </w:p>
        </w:tc>
      </w:tr>
      <w:tr>
        <w:tc>
          <w:tcPr/>
          <w:p>
            <w:pPr>
              <w:pStyle w:val="Compact"/>
            </w:pPr>
            <w:r>
              <w:rPr>
                <w:b/>
                <w:bCs/>
              </w:rPr>
              <w:t xml:space="preserve">Casual</w:t>
            </w:r>
          </w:p>
        </w:tc>
        <w:tc>
          <w:tcPr/>
          <w:p>
            <w:pPr>
              <w:pStyle w:val="Compact"/>
            </w:pPr>
            <w:r>
              <w:t xml:space="preserve">Bullets, Q&amp;A</w:t>
            </w:r>
          </w:p>
        </w:tc>
        <w:tc>
          <w:tcPr/>
          <w:p>
            <w:pPr>
              <w:pStyle w:val="Compact"/>
            </w:pPr>
            <w:r>
              <w:t xml:space="preserve">1. Team all-hands – culture updates, celebrations</w:t>
            </w:r>
            <w:r>
              <w:t xml:space="preserve">2. Onboarding decks – welcoming new hires</w:t>
            </w:r>
          </w:p>
        </w:tc>
      </w:tr>
      <w:tr>
        <w:tc>
          <w:tcPr/>
          <w:p>
            <w:pPr>
              <w:pStyle w:val="Compact"/>
            </w:pPr>
            <w:r>
              <w:rPr>
                <w:b/>
                <w:bCs/>
              </w:rPr>
              <w:t xml:space="preserve">Instructive</w:t>
            </w:r>
          </w:p>
        </w:tc>
        <w:tc>
          <w:tcPr/>
          <w:p>
            <w:pPr>
              <w:pStyle w:val="Compact"/>
            </w:pPr>
            <w:r>
              <w:t xml:space="preserve">Steps, Numbered</w:t>
            </w:r>
          </w:p>
        </w:tc>
        <w:tc>
          <w:tcPr/>
          <w:p>
            <w:pPr>
              <w:pStyle w:val="Compact"/>
            </w:pPr>
            <w:r>
              <w:t xml:space="preserve">1. Training workshops – skill-building sessions</w:t>
            </w:r>
            <w:r>
              <w:t xml:space="preserve">2. Process walkthroughs – how systems work</w:t>
            </w:r>
          </w:p>
        </w:tc>
      </w:tr>
    </w:tbl>
    <w:bookmarkStart w:id="22" w:name="non-obvious-winner-academic-bullets"/>
    <w:p>
      <w:pPr>
        <w:pStyle w:val="Heading3"/>
      </w:pPr>
      <w:r>
        <w:t xml:space="preserve">Non-Obvious Winner: Academic + Bullets</w:t>
      </w:r>
    </w:p>
    <w:p>
      <w:pPr>
        <w:pStyle w:val="FirstParagraph"/>
      </w:pPr>
      <w:r>
        <w:t xml:space="preserve">The rigor of academic tone combined with scannable bullets creates authoritative yet digestible slides. This combination is ideal for technical conferences where you need credibility but can’t afford to lose the audience in dense prose.</w:t>
      </w:r>
    </w:p>
    <w:p>
      <w:pPr>
        <w:pStyle w:val="BodyText"/>
      </w:pPr>
      <w:r>
        <w:rPr>
          <w:b/>
          <w:bCs/>
        </w:rPr>
        <w:t xml:space="preserve">Best for:</w:t>
      </w:r>
      <w:r>
        <w:t xml:space="preserve"> </w:t>
      </w:r>
      <w:r>
        <w:t xml:space="preserve">Research presentations, technical keynotes, investor pitches with data-heavy claims.</w:t>
      </w:r>
    </w:p>
    <w:p>
      <w:r>
        <w:pict>
          <v:rect style="width:0;height:1.5pt" o:hralign="center" o:hrstd="t" o:hr="t"/>
        </w:pict>
      </w:r>
    </w:p>
    <w:bookmarkEnd w:id="22"/>
    <w:bookmarkEnd w:id="23"/>
    <w:bookmarkStart w:id="25" w:name="doc-comprehensive-documents"/>
    <w:p>
      <w:pPr>
        <w:pStyle w:val="Heading2"/>
      </w:pPr>
      <w:r>
        <w:t xml:space="preserve">Doc (Comprehensive Documents)</w:t>
      </w:r>
    </w:p>
    <w:p>
      <w:pPr>
        <w:pStyle w:val="FirstParagraph"/>
      </w:pPr>
      <w:r>
        <w:t xml:space="preserve">Documents allow for depth and nuance. The tone-format pairing determines whether the document reads as a reference, narrative, or guide.</w:t>
      </w:r>
    </w:p>
    <w:tbl>
      <w:tblPr>
        <w:tblStyle w:val="Table"/>
        <w:tblW w:type="pct" w:w="5000"/>
        <w:tblLayout w:type="fixed"/>
        <w:tblLook w:firstRow="1" w:lastRow="0" w:firstColumn="0" w:lastColumn="0" w:noHBand="0" w:noVBand="0" w:val="0020"/>
      </w:tblPr>
      <w:tblGrid>
        <w:gridCol w:w="1357"/>
        <w:gridCol w:w="3168"/>
        <w:gridCol w:w="3394"/>
      </w:tblGrid>
      <w:tr>
        <w:trPr>
          <w:tblHeader w:val="on"/>
        </w:trPr>
        <w:tc>
          <w:tcPr/>
          <w:p>
            <w:pPr>
              <w:pStyle w:val="Compact"/>
            </w:pPr>
            <w:r>
              <w:t xml:space="preserve">Tone</w:t>
            </w:r>
          </w:p>
        </w:tc>
        <w:tc>
          <w:tcPr/>
          <w:p>
            <w:pPr>
              <w:pStyle w:val="Compact"/>
            </w:pPr>
            <w:r>
              <w:t xml:space="preserve">Best Formats</w:t>
            </w:r>
          </w:p>
        </w:tc>
        <w:tc>
          <w:tcPr/>
          <w:p>
            <w:pPr>
              <w:pStyle w:val="Compact"/>
            </w:pPr>
            <w:r>
              <w:t xml:space="preserve">Top Use Cases</w:t>
            </w:r>
          </w:p>
        </w:tc>
      </w:tr>
      <w:tr>
        <w:tc>
          <w:tcPr/>
          <w:p>
            <w:pPr>
              <w:pStyle w:val="Compact"/>
            </w:pPr>
            <w:r>
              <w:rPr>
                <w:b/>
                <w:bCs/>
              </w:rPr>
              <w:t xml:space="preserve">Professional</w:t>
            </w:r>
          </w:p>
        </w:tc>
        <w:tc>
          <w:tcPr/>
          <w:p>
            <w:pPr>
              <w:pStyle w:val="Compact"/>
            </w:pPr>
            <w:r>
              <w:t xml:space="preserve">Sections, Paragraph</w:t>
            </w:r>
          </w:p>
        </w:tc>
        <w:tc>
          <w:tcPr/>
          <w:p>
            <w:pPr>
              <w:pStyle w:val="Compact"/>
            </w:pPr>
            <w:r>
              <w:t xml:space="preserve">1. Business plans – investor-ready documentation</w:t>
            </w:r>
            <w:r>
              <w:t xml:space="preserve">2. Policy documents – SOPs, compliance guides</w:t>
            </w:r>
          </w:p>
        </w:tc>
      </w:tr>
      <w:tr>
        <w:tc>
          <w:tcPr/>
          <w:p>
            <w:pPr>
              <w:pStyle w:val="Compact"/>
            </w:pPr>
            <w:r>
              <w:rPr>
                <w:b/>
                <w:bCs/>
              </w:rPr>
              <w:t xml:space="preserve">Creative</w:t>
            </w:r>
          </w:p>
        </w:tc>
        <w:tc>
          <w:tcPr/>
          <w:p>
            <w:pPr>
              <w:pStyle w:val="Compact"/>
            </w:pPr>
            <w:r>
              <w:t xml:space="preserve">Paragraph, Sections</w:t>
            </w:r>
          </w:p>
        </w:tc>
        <w:tc>
          <w:tcPr/>
          <w:p>
            <w:pPr>
              <w:pStyle w:val="Compact"/>
            </w:pPr>
            <w:r>
              <w:t xml:space="preserve">1. Narrative reports – annual reports with storytelling</w:t>
            </w:r>
            <w:r>
              <w:t xml:space="preserve">2. Case studies – compelling customer stories</w:t>
            </w:r>
          </w:p>
        </w:tc>
      </w:tr>
      <w:tr>
        <w:tc>
          <w:tcPr/>
          <w:p>
            <w:pPr>
              <w:pStyle w:val="Compact"/>
            </w:pPr>
            <w:r>
              <w:rPr>
                <w:b/>
                <w:bCs/>
              </w:rPr>
              <w:t xml:space="preserve">Academic</w:t>
            </w:r>
          </w:p>
        </w:tc>
        <w:tc>
          <w:tcPr/>
          <w:p>
            <w:pPr>
              <w:pStyle w:val="Compact"/>
            </w:pPr>
            <w:r>
              <w:t xml:space="preserve">Sections, Numbered</w:t>
            </w:r>
          </w:p>
        </w:tc>
        <w:tc>
          <w:tcPr/>
          <w:p>
            <w:pPr>
              <w:pStyle w:val="Compact"/>
            </w:pPr>
            <w:r>
              <w:t xml:space="preserve">1. Research papers – literature reviews, methodology</w:t>
            </w:r>
            <w:r>
              <w:t xml:space="preserve">2. White papers – technical deep-dives with citations</w:t>
            </w:r>
          </w:p>
        </w:tc>
      </w:tr>
      <w:tr>
        <w:tc>
          <w:tcPr/>
          <w:p>
            <w:pPr>
              <w:pStyle w:val="Compact"/>
            </w:pPr>
            <w:r>
              <w:rPr>
                <w:b/>
                <w:bCs/>
              </w:rPr>
              <w:t xml:space="preserve">Casual</w:t>
            </w:r>
          </w:p>
        </w:tc>
        <w:tc>
          <w:tcPr/>
          <w:p>
            <w:pPr>
              <w:pStyle w:val="Compact"/>
            </w:pPr>
            <w:r>
              <w:t xml:space="preserve">Paragraph, Bullets</w:t>
            </w:r>
          </w:p>
        </w:tc>
        <w:tc>
          <w:tcPr/>
          <w:p>
            <w:pPr>
              <w:pStyle w:val="Compact"/>
            </w:pPr>
            <w:r>
              <w:t xml:space="preserve">1. Blog posts – thought leadership, tutorials</w:t>
            </w:r>
            <w:r>
              <w:t xml:space="preserve">2. Internal wikis – team knowledge bases</w:t>
            </w:r>
          </w:p>
        </w:tc>
      </w:tr>
      <w:tr>
        <w:tc>
          <w:tcPr/>
          <w:p>
            <w:pPr>
              <w:pStyle w:val="Compact"/>
            </w:pPr>
            <w:r>
              <w:rPr>
                <w:b/>
                <w:bCs/>
              </w:rPr>
              <w:t xml:space="preserve">Instructive</w:t>
            </w:r>
          </w:p>
        </w:tc>
        <w:tc>
          <w:tcPr/>
          <w:p>
            <w:pPr>
              <w:pStyle w:val="Compact"/>
            </w:pPr>
            <w:r>
              <w:t xml:space="preserve">Steps, Sections</w:t>
            </w:r>
          </w:p>
        </w:tc>
        <w:tc>
          <w:tcPr/>
          <w:p>
            <w:pPr>
              <w:pStyle w:val="Compact"/>
            </w:pPr>
            <w:r>
              <w:t xml:space="preserve">1. User manuals – product documentation</w:t>
            </w:r>
            <w:r>
              <w:t xml:space="preserve">2. Runbooks – operational procedures</w:t>
            </w:r>
          </w:p>
        </w:tc>
      </w:tr>
    </w:tbl>
    <w:bookmarkStart w:id="24" w:name="non-obvious-winner-instructive-steps"/>
    <w:p>
      <w:pPr>
        <w:pStyle w:val="Heading3"/>
      </w:pPr>
      <w:r>
        <w:t xml:space="preserve">Non-Obvious Winner: Instructive + Steps</w:t>
      </w:r>
    </w:p>
    <w:p>
      <w:pPr>
        <w:pStyle w:val="FirstParagraph"/>
      </w:pPr>
      <w:r>
        <w:t xml:space="preserve">While</w:t>
      </w:r>
      <w:r>
        <w:t xml:space="preserve"> </w:t>
      </w:r>
      <w:r>
        <w:t xml:space="preserve">“instructive”</w:t>
      </w:r>
      <w:r>
        <w:t xml:space="preserve"> </w:t>
      </w:r>
      <w:r>
        <w:t xml:space="preserve">seems obvious for tutorials, pairing it with step-by-step format for</w:t>
      </w:r>
      <w:r>
        <w:t xml:space="preserve"> </w:t>
      </w:r>
      <w:r>
        <w:rPr>
          <w:i/>
          <w:iCs/>
        </w:rPr>
        <w:t xml:space="preserve">runbooks</w:t>
      </w:r>
      <w:r>
        <w:t xml:space="preserve"> </w:t>
      </w:r>
      <w:r>
        <w:t xml:space="preserve">creates exceptional operational documentation. This combination reduces errors during incidents because each action is explicit and sequenced.</w:t>
      </w:r>
    </w:p>
    <w:p>
      <w:pPr>
        <w:pStyle w:val="BodyText"/>
      </w:pPr>
      <w:r>
        <w:rPr>
          <w:b/>
          <w:bCs/>
        </w:rPr>
        <w:t xml:space="preserve">Best for:</w:t>
      </w:r>
      <w:r>
        <w:t xml:space="preserve"> </w:t>
      </w:r>
      <w:r>
        <w:t xml:space="preserve">Incident response playbooks, deployment procedures, compliance checklists.</w:t>
      </w:r>
    </w:p>
    <w:p>
      <w:r>
        <w:pict>
          <v:rect style="width:0;height:1.5pt" o:hralign="center" o:hrstd="t" o:hr="t"/>
        </w:pict>
      </w:r>
    </w:p>
    <w:bookmarkEnd w:id="24"/>
    <w:bookmarkEnd w:id="25"/>
    <w:bookmarkStart w:id="27" w:name="data-structured-datatables"/>
    <w:p>
      <w:pPr>
        <w:pStyle w:val="Heading2"/>
      </w:pPr>
      <w:r>
        <w:t xml:space="preserve">Data (Structured Data/Tables)</w:t>
      </w:r>
    </w:p>
    <w:p>
      <w:pPr>
        <w:pStyle w:val="FirstParagraph"/>
      </w:pPr>
      <w:r>
        <w:t xml:space="preserve">Data output emphasizes structure and comparability. The tone affects how the data is contextualized and explained.</w:t>
      </w:r>
    </w:p>
    <w:tbl>
      <w:tblPr>
        <w:tblStyle w:val="Table"/>
        <w:tblW w:type="pct" w:w="5000"/>
        <w:tblLayout w:type="fixed"/>
        <w:tblLook w:firstRow="1" w:lastRow="0" w:firstColumn="0" w:lastColumn="0" w:noHBand="0" w:noVBand="0" w:val="0020"/>
      </w:tblPr>
      <w:tblGrid>
        <w:gridCol w:w="1357"/>
        <w:gridCol w:w="3168"/>
        <w:gridCol w:w="3394"/>
      </w:tblGrid>
      <w:tr>
        <w:trPr>
          <w:tblHeader w:val="on"/>
        </w:trPr>
        <w:tc>
          <w:tcPr/>
          <w:p>
            <w:pPr>
              <w:pStyle w:val="Compact"/>
            </w:pPr>
            <w:r>
              <w:t xml:space="preserve">Tone</w:t>
            </w:r>
          </w:p>
        </w:tc>
        <w:tc>
          <w:tcPr/>
          <w:p>
            <w:pPr>
              <w:pStyle w:val="Compact"/>
            </w:pPr>
            <w:r>
              <w:t xml:space="preserve">Best Formats</w:t>
            </w:r>
          </w:p>
        </w:tc>
        <w:tc>
          <w:tcPr/>
          <w:p>
            <w:pPr>
              <w:pStyle w:val="Compact"/>
            </w:pPr>
            <w:r>
              <w:t xml:space="preserve">Top Use Cases</w:t>
            </w:r>
          </w:p>
        </w:tc>
      </w:tr>
      <w:tr>
        <w:tc>
          <w:tcPr/>
          <w:p>
            <w:pPr>
              <w:pStyle w:val="Compact"/>
            </w:pPr>
            <w:r>
              <w:rPr>
                <w:b/>
                <w:bCs/>
              </w:rPr>
              <w:t xml:space="preserve">Professional</w:t>
            </w:r>
          </w:p>
        </w:tc>
        <w:tc>
          <w:tcPr/>
          <w:p>
            <w:pPr>
              <w:pStyle w:val="Compact"/>
            </w:pPr>
            <w:r>
              <w:t xml:space="preserve">Table, JSON</w:t>
            </w:r>
          </w:p>
        </w:tc>
        <w:tc>
          <w:tcPr/>
          <w:p>
            <w:pPr>
              <w:pStyle w:val="Compact"/>
            </w:pPr>
            <w:r>
              <w:t xml:space="preserve">1. Financial reports – P&amp;L, budget breakdowns</w:t>
            </w:r>
            <w:r>
              <w:t xml:space="preserve">2. Competitive analysis – feature comparison matrices</w:t>
            </w:r>
          </w:p>
        </w:tc>
      </w:tr>
      <w:tr>
        <w:tc>
          <w:tcPr/>
          <w:p>
            <w:pPr>
              <w:pStyle w:val="Compact"/>
            </w:pPr>
            <w:r>
              <w:rPr>
                <w:b/>
                <w:bCs/>
              </w:rPr>
              <w:t xml:space="preserve">Creative</w:t>
            </w:r>
          </w:p>
        </w:tc>
        <w:tc>
          <w:tcPr/>
          <w:p>
            <w:pPr>
              <w:pStyle w:val="Compact"/>
            </w:pPr>
            <w:r>
              <w:t xml:space="preserve">Table, Bullets</w:t>
            </w:r>
          </w:p>
        </w:tc>
        <w:tc>
          <w:tcPr/>
          <w:p>
            <w:pPr>
              <w:pStyle w:val="Compact"/>
            </w:pPr>
            <w:r>
              <w:t xml:space="preserve">1. Content calendars – editorial planning</w:t>
            </w:r>
            <w:r>
              <w:t xml:space="preserve">2. Mood/style guides – design system specs</w:t>
            </w:r>
          </w:p>
        </w:tc>
      </w:tr>
      <w:tr>
        <w:tc>
          <w:tcPr/>
          <w:p>
            <w:pPr>
              <w:pStyle w:val="Compact"/>
            </w:pPr>
            <w:r>
              <w:rPr>
                <w:b/>
                <w:bCs/>
              </w:rPr>
              <w:t xml:space="preserve">Academic</w:t>
            </w:r>
          </w:p>
        </w:tc>
        <w:tc>
          <w:tcPr/>
          <w:p>
            <w:pPr>
              <w:pStyle w:val="Compact"/>
            </w:pPr>
            <w:r>
              <w:t xml:space="preserve">Table, Numbered</w:t>
            </w:r>
          </w:p>
        </w:tc>
        <w:tc>
          <w:tcPr/>
          <w:p>
            <w:pPr>
              <w:pStyle w:val="Compact"/>
            </w:pPr>
            <w:r>
              <w:t xml:space="preserve">1. Literature matrices – source comparison tables</w:t>
            </w:r>
            <w:r>
              <w:t xml:space="preserve">2. Experimental data – results with statistical notation</w:t>
            </w:r>
          </w:p>
        </w:tc>
      </w:tr>
      <w:tr>
        <w:tc>
          <w:tcPr/>
          <w:p>
            <w:pPr>
              <w:pStyle w:val="Compact"/>
            </w:pPr>
            <w:r>
              <w:rPr>
                <w:b/>
                <w:bCs/>
              </w:rPr>
              <w:t xml:space="preserve">Casual</w:t>
            </w:r>
          </w:p>
        </w:tc>
        <w:tc>
          <w:tcPr/>
          <w:p>
            <w:pPr>
              <w:pStyle w:val="Compact"/>
            </w:pPr>
            <w:r>
              <w:t xml:space="preserve">Table, Bullets</w:t>
            </w:r>
          </w:p>
        </w:tc>
        <w:tc>
          <w:tcPr/>
          <w:p>
            <w:pPr>
              <w:pStyle w:val="Compact"/>
            </w:pPr>
            <w:r>
              <w:t xml:space="preserve">1. Team rosters – who does what</w:t>
            </w:r>
            <w:r>
              <w:t xml:space="preserve">2. Event planning – logistics checklists</w:t>
            </w:r>
          </w:p>
        </w:tc>
      </w:tr>
      <w:tr>
        <w:tc>
          <w:tcPr/>
          <w:p>
            <w:pPr>
              <w:pStyle w:val="Compact"/>
            </w:pPr>
            <w:r>
              <w:rPr>
                <w:b/>
                <w:bCs/>
              </w:rPr>
              <w:t xml:space="preserve">Instructive</w:t>
            </w:r>
          </w:p>
        </w:tc>
        <w:tc>
          <w:tcPr/>
          <w:p>
            <w:pPr>
              <w:pStyle w:val="Compact"/>
            </w:pPr>
            <w:r>
              <w:t xml:space="preserve">Table, Steps</w:t>
            </w:r>
          </w:p>
        </w:tc>
        <w:tc>
          <w:tcPr/>
          <w:p>
            <w:pPr>
              <w:pStyle w:val="Compact"/>
            </w:pPr>
            <w:r>
              <w:t xml:space="preserve">1. Decision trees – if-then logic tables</w:t>
            </w:r>
            <w:r>
              <w:t xml:space="preserve">2. Troubleshooting guides – symptom → solution mapping</w:t>
            </w:r>
          </w:p>
        </w:tc>
      </w:tr>
    </w:tbl>
    <w:bookmarkStart w:id="26" w:name="non-obvious-winner-creative-table"/>
    <w:p>
      <w:pPr>
        <w:pStyle w:val="Heading3"/>
      </w:pPr>
      <w:r>
        <w:t xml:space="preserve">Non-Obvious Winner: Creative + Table</w:t>
      </w:r>
    </w:p>
    <w:p>
      <w:pPr>
        <w:pStyle w:val="FirstParagraph"/>
      </w:pPr>
      <w:r>
        <w:t xml:space="preserve">This sounds contradictory—creativity applied to structured data? But creative tone produces</w:t>
      </w:r>
      <w:r>
        <w:t xml:space="preserve"> </w:t>
      </w:r>
      <w:r>
        <w:rPr>
          <w:i/>
          <w:iCs/>
        </w:rPr>
        <w:t xml:space="preserve">evocative</w:t>
      </w:r>
      <w:r>
        <w:t xml:space="preserve"> </w:t>
      </w:r>
      <w:r>
        <w:t xml:space="preserve">content calendars and style guides that inspire action rather than just inform. The structure keeps it usable while the tone makes it engaging.</w:t>
      </w:r>
    </w:p>
    <w:p>
      <w:pPr>
        <w:pStyle w:val="BodyText"/>
      </w:pPr>
      <w:r>
        <w:rPr>
          <w:b/>
          <w:bCs/>
        </w:rPr>
        <w:t xml:space="preserve">Best for:</w:t>
      </w:r>
      <w:r>
        <w:t xml:space="preserve"> </w:t>
      </w:r>
      <w:r>
        <w:t xml:space="preserve">Editorial calendars, brand guidelines, design systems, campaign planning matrices.</w:t>
      </w:r>
    </w:p>
    <w:p>
      <w:r>
        <w:pict>
          <v:rect style="width:0;height:1.5pt" o:hralign="center" o:hrstd="t" o:hr="t"/>
        </w:pict>
      </w:r>
    </w:p>
    <w:bookmarkEnd w:id="26"/>
    <w:bookmarkEnd w:id="27"/>
    <w:bookmarkStart w:id="29" w:name="code-production-ready-code"/>
    <w:p>
      <w:pPr>
        <w:pStyle w:val="Heading2"/>
      </w:pPr>
      <w:r>
        <w:t xml:space="preserve">Code (Production-Ready Code)</w:t>
      </w:r>
    </w:p>
    <w:p>
      <w:pPr>
        <w:pStyle w:val="FirstParagraph"/>
      </w:pPr>
      <w:r>
        <w:t xml:space="preserve">Code output requires precision, but the surrounding documentation and explanations benefit from varied tones.</w:t>
      </w:r>
    </w:p>
    <w:tbl>
      <w:tblPr>
        <w:tblStyle w:val="Table"/>
        <w:tblW w:type="pct" w:w="5000"/>
        <w:tblLayout w:type="fixed"/>
        <w:tblLook w:firstRow="1" w:lastRow="0" w:firstColumn="0" w:lastColumn="0" w:noHBand="0" w:noVBand="0" w:val="0020"/>
      </w:tblPr>
      <w:tblGrid>
        <w:gridCol w:w="1357"/>
        <w:gridCol w:w="3168"/>
        <w:gridCol w:w="3394"/>
      </w:tblGrid>
      <w:tr>
        <w:trPr>
          <w:tblHeader w:val="on"/>
        </w:trPr>
        <w:tc>
          <w:tcPr/>
          <w:p>
            <w:pPr>
              <w:pStyle w:val="Compact"/>
            </w:pPr>
            <w:r>
              <w:t xml:space="preserve">Tone</w:t>
            </w:r>
          </w:p>
        </w:tc>
        <w:tc>
          <w:tcPr/>
          <w:p>
            <w:pPr>
              <w:pStyle w:val="Compact"/>
            </w:pPr>
            <w:r>
              <w:t xml:space="preserve">Best Formats</w:t>
            </w:r>
          </w:p>
        </w:tc>
        <w:tc>
          <w:tcPr/>
          <w:p>
            <w:pPr>
              <w:pStyle w:val="Compact"/>
            </w:pPr>
            <w:r>
              <w:t xml:space="preserve">Top Use Cases</w:t>
            </w:r>
          </w:p>
        </w:tc>
      </w:tr>
      <w:tr>
        <w:tc>
          <w:tcPr/>
          <w:p>
            <w:pPr>
              <w:pStyle w:val="Compact"/>
            </w:pPr>
            <w:r>
              <w:rPr>
                <w:b/>
                <w:bCs/>
              </w:rPr>
              <w:t xml:space="preserve">Professional</w:t>
            </w:r>
          </w:p>
        </w:tc>
        <w:tc>
          <w:tcPr/>
          <w:p>
            <w:pPr>
              <w:pStyle w:val="Compact"/>
            </w:pPr>
            <w:r>
              <w:t xml:space="preserve">Sections, Steps</w:t>
            </w:r>
          </w:p>
        </w:tc>
        <w:tc>
          <w:tcPr/>
          <w:p>
            <w:pPr>
              <w:pStyle w:val="Compact"/>
            </w:pPr>
            <w:r>
              <w:t xml:space="preserve">1. API documentation – endpoint references</w:t>
            </w:r>
            <w:r>
              <w:t xml:space="preserve">2. Architecture docs – system design with code samples</w:t>
            </w:r>
          </w:p>
        </w:tc>
      </w:tr>
      <w:tr>
        <w:tc>
          <w:tcPr/>
          <w:p>
            <w:pPr>
              <w:pStyle w:val="Compact"/>
            </w:pPr>
            <w:r>
              <w:rPr>
                <w:b/>
                <w:bCs/>
              </w:rPr>
              <w:t xml:space="preserve">Creative</w:t>
            </w:r>
          </w:p>
        </w:tc>
        <w:tc>
          <w:tcPr/>
          <w:p>
            <w:pPr>
              <w:pStyle w:val="Compact"/>
            </w:pPr>
            <w:r>
              <w:t xml:space="preserve">Paragraph, Bullets</w:t>
            </w:r>
          </w:p>
        </w:tc>
        <w:tc>
          <w:tcPr/>
          <w:p>
            <w:pPr>
              <w:pStyle w:val="Compact"/>
            </w:pPr>
            <w:r>
              <w:t xml:space="preserve">1. Code storytelling – explaining complex algorithms narratively</w:t>
            </w:r>
            <w:r>
              <w:t xml:space="preserve">2. Developer blogs – making technical concepts engaging</w:t>
            </w:r>
          </w:p>
        </w:tc>
      </w:tr>
      <w:tr>
        <w:tc>
          <w:tcPr/>
          <w:p>
            <w:pPr>
              <w:pStyle w:val="Compact"/>
            </w:pPr>
            <w:r>
              <w:rPr>
                <w:b/>
                <w:bCs/>
              </w:rPr>
              <w:t xml:space="preserve">Academic</w:t>
            </w:r>
          </w:p>
        </w:tc>
        <w:tc>
          <w:tcPr/>
          <w:p>
            <w:pPr>
              <w:pStyle w:val="Compact"/>
            </w:pPr>
            <w:r>
              <w:t xml:space="preserve">Sections, Numbered</w:t>
            </w:r>
          </w:p>
        </w:tc>
        <w:tc>
          <w:tcPr/>
          <w:p>
            <w:pPr>
              <w:pStyle w:val="Compact"/>
            </w:pPr>
            <w:r>
              <w:t xml:space="preserve">1. Algorithm papers – pseudocode with proofs</w:t>
            </w:r>
            <w:r>
              <w:t xml:space="preserve">2. CS coursework – annotated implementations</w:t>
            </w:r>
          </w:p>
        </w:tc>
      </w:tr>
      <w:tr>
        <w:tc>
          <w:tcPr/>
          <w:p>
            <w:pPr>
              <w:pStyle w:val="Compact"/>
            </w:pPr>
            <w:r>
              <w:rPr>
                <w:b/>
                <w:bCs/>
              </w:rPr>
              <w:t xml:space="preserve">Casual</w:t>
            </w:r>
          </w:p>
        </w:tc>
        <w:tc>
          <w:tcPr/>
          <w:p>
            <w:pPr>
              <w:pStyle w:val="Compact"/>
            </w:pPr>
            <w:r>
              <w:t xml:space="preserve">Bullets, Steps</w:t>
            </w:r>
          </w:p>
        </w:tc>
        <w:tc>
          <w:tcPr/>
          <w:p>
            <w:pPr>
              <w:pStyle w:val="Compact"/>
            </w:pPr>
            <w:r>
              <w:t xml:space="preserve">1. README files – friendly project introductions</w:t>
            </w:r>
            <w:r>
              <w:t xml:space="preserve">2. Code reviews – conversational feedback</w:t>
            </w:r>
          </w:p>
        </w:tc>
      </w:tr>
      <w:tr>
        <w:tc>
          <w:tcPr/>
          <w:p>
            <w:pPr>
              <w:pStyle w:val="Compact"/>
            </w:pPr>
            <w:r>
              <w:rPr>
                <w:b/>
                <w:bCs/>
              </w:rPr>
              <w:t xml:space="preserve">Instructive</w:t>
            </w:r>
          </w:p>
        </w:tc>
        <w:tc>
          <w:tcPr/>
          <w:p>
            <w:pPr>
              <w:pStyle w:val="Compact"/>
            </w:pPr>
            <w:r>
              <w:t xml:space="preserve">Steps, Sections</w:t>
            </w:r>
          </w:p>
        </w:tc>
        <w:tc>
          <w:tcPr/>
          <w:p>
            <w:pPr>
              <w:pStyle w:val="Compact"/>
            </w:pPr>
            <w:r>
              <w:t xml:space="preserve">1. Tutorials – learn-by-building guides</w:t>
            </w:r>
            <w:r>
              <w:t xml:space="preserve">2. Migration guides – version upgrade instructions</w:t>
            </w:r>
          </w:p>
        </w:tc>
      </w:tr>
    </w:tbl>
    <w:bookmarkStart w:id="28" w:name="non-obvious-winner-creative-paragraph"/>
    <w:p>
      <w:pPr>
        <w:pStyle w:val="Heading3"/>
      </w:pPr>
      <w:r>
        <w:t xml:space="preserve">Non-Obvious Winner: Creative + Paragraph</w:t>
      </w:r>
    </w:p>
    <w:p>
      <w:pPr>
        <w:pStyle w:val="FirstParagraph"/>
      </w:pPr>
      <w:r>
        <w:t xml:space="preserve">When explaining</w:t>
      </w:r>
      <w:r>
        <w:t xml:space="preserve"> </w:t>
      </w:r>
      <w:r>
        <w:rPr>
          <w:i/>
          <w:iCs/>
        </w:rPr>
        <w:t xml:space="preserve">why</w:t>
      </w:r>
      <w:r>
        <w:t xml:space="preserve"> </w:t>
      </w:r>
      <w:r>
        <w:t xml:space="preserve">code works (not just</w:t>
      </w:r>
      <w:r>
        <w:t xml:space="preserve"> </w:t>
      </w:r>
      <w:r>
        <w:rPr>
          <w:i/>
          <w:iCs/>
        </w:rPr>
        <w:t xml:space="preserve">how</w:t>
      </w:r>
      <w:r>
        <w:t xml:space="preserve">), narrative prose with creative flair makes complex algorithms memorable. Think of the best technical blog posts you’ve read—they tell a story. This combination transforms documentation into content people actually want to read.</w:t>
      </w:r>
    </w:p>
    <w:p>
      <w:pPr>
        <w:pStyle w:val="BodyText"/>
      </w:pPr>
      <w:r>
        <w:rPr>
          <w:b/>
          <w:bCs/>
        </w:rPr>
        <w:t xml:space="preserve">Best for:</w:t>
      </w:r>
      <w:r>
        <w:t xml:space="preserve"> </w:t>
      </w:r>
      <w:r>
        <w:t xml:space="preserve">Technical blog posts, algorithm explainers,</w:t>
      </w:r>
      <w:r>
        <w:t xml:space="preserve"> </w:t>
      </w:r>
      <w:r>
        <w:t xml:space="preserve">“how we built it”</w:t>
      </w:r>
      <w:r>
        <w:t xml:space="preserve"> </w:t>
      </w:r>
      <w:r>
        <w:t xml:space="preserve">articles, developer advocacy content.</w:t>
      </w:r>
    </w:p>
    <w:p>
      <w:r>
        <w:pict>
          <v:rect style="width:0;height:1.5pt" o:hralign="center" o:hrstd="t" o:hr="t"/>
        </w:pict>
      </w:r>
    </w:p>
    <w:bookmarkEnd w:id="28"/>
    <w:bookmarkEnd w:id="29"/>
    <w:bookmarkStart w:id="31" w:name="copy-marketingcreative-writing"/>
    <w:p>
      <w:pPr>
        <w:pStyle w:val="Heading2"/>
      </w:pPr>
      <w:r>
        <w:t xml:space="preserve">Copy (Marketing/Creative Writing)</w:t>
      </w:r>
    </w:p>
    <w:p>
      <w:pPr>
        <w:pStyle w:val="FirstParagraph"/>
      </w:pPr>
      <w:r>
        <w:t xml:space="preserve">Marketing copy must persuade. The tone-format combination determines the persuasion style—emotional, logical, or educational.</w:t>
      </w:r>
    </w:p>
    <w:tbl>
      <w:tblPr>
        <w:tblStyle w:val="Table"/>
        <w:tblW w:type="pct" w:w="5000"/>
        <w:tblLayout w:type="fixed"/>
        <w:tblLook w:firstRow="1" w:lastRow="0" w:firstColumn="0" w:lastColumn="0" w:noHBand="0" w:noVBand="0" w:val="0020"/>
      </w:tblPr>
      <w:tblGrid>
        <w:gridCol w:w="1357"/>
        <w:gridCol w:w="3168"/>
        <w:gridCol w:w="3394"/>
      </w:tblGrid>
      <w:tr>
        <w:trPr>
          <w:tblHeader w:val="on"/>
        </w:trPr>
        <w:tc>
          <w:tcPr/>
          <w:p>
            <w:pPr>
              <w:pStyle w:val="Compact"/>
            </w:pPr>
            <w:r>
              <w:t xml:space="preserve">Tone</w:t>
            </w:r>
          </w:p>
        </w:tc>
        <w:tc>
          <w:tcPr/>
          <w:p>
            <w:pPr>
              <w:pStyle w:val="Compact"/>
            </w:pPr>
            <w:r>
              <w:t xml:space="preserve">Best Formats</w:t>
            </w:r>
          </w:p>
        </w:tc>
        <w:tc>
          <w:tcPr/>
          <w:p>
            <w:pPr>
              <w:pStyle w:val="Compact"/>
            </w:pPr>
            <w:r>
              <w:t xml:space="preserve">Top Use Cases</w:t>
            </w:r>
          </w:p>
        </w:tc>
      </w:tr>
      <w:tr>
        <w:tc>
          <w:tcPr/>
          <w:p>
            <w:pPr>
              <w:pStyle w:val="Compact"/>
            </w:pPr>
            <w:r>
              <w:rPr>
                <w:b/>
                <w:bCs/>
              </w:rPr>
              <w:t xml:space="preserve">Professional</w:t>
            </w:r>
          </w:p>
        </w:tc>
        <w:tc>
          <w:tcPr/>
          <w:p>
            <w:pPr>
              <w:pStyle w:val="Compact"/>
            </w:pPr>
            <w:r>
              <w:t xml:space="preserve">Paragraph, Sections</w:t>
            </w:r>
          </w:p>
        </w:tc>
        <w:tc>
          <w:tcPr/>
          <w:p>
            <w:pPr>
              <w:pStyle w:val="Compact"/>
            </w:pPr>
            <w:r>
              <w:t xml:space="preserve">1. B2B landing pages – enterprise software</w:t>
            </w:r>
            <w:r>
              <w:t xml:space="preserve">2. Press releases – corporate announcements</w:t>
            </w:r>
          </w:p>
        </w:tc>
      </w:tr>
      <w:tr>
        <w:tc>
          <w:tcPr/>
          <w:p>
            <w:pPr>
              <w:pStyle w:val="Compact"/>
            </w:pPr>
            <w:r>
              <w:rPr>
                <w:b/>
                <w:bCs/>
              </w:rPr>
              <w:t xml:space="preserve">Creative</w:t>
            </w:r>
          </w:p>
        </w:tc>
        <w:tc>
          <w:tcPr/>
          <w:p>
            <w:pPr>
              <w:pStyle w:val="Compact"/>
            </w:pPr>
            <w:r>
              <w:t xml:space="preserve">Paragraph, Bullets</w:t>
            </w:r>
          </w:p>
        </w:tc>
        <w:tc>
          <w:tcPr/>
          <w:p>
            <w:pPr>
              <w:pStyle w:val="Compact"/>
            </w:pPr>
            <w:r>
              <w:t xml:space="preserve">1. Ad campaigns – taglines, social media</w:t>
            </w:r>
            <w:r>
              <w:t xml:space="preserve">2. Brand manifestos – company voice documents</w:t>
            </w:r>
          </w:p>
        </w:tc>
      </w:tr>
      <w:tr>
        <w:tc>
          <w:tcPr/>
          <w:p>
            <w:pPr>
              <w:pStyle w:val="Compact"/>
            </w:pPr>
            <w:r>
              <w:rPr>
                <w:b/>
                <w:bCs/>
              </w:rPr>
              <w:t xml:space="preserve">Academic</w:t>
            </w:r>
          </w:p>
        </w:tc>
        <w:tc>
          <w:tcPr/>
          <w:p>
            <w:pPr>
              <w:pStyle w:val="Compact"/>
            </w:pPr>
            <w:r>
              <w:t xml:space="preserve">Paragraph, Sections</w:t>
            </w:r>
          </w:p>
        </w:tc>
        <w:tc>
          <w:tcPr/>
          <w:p>
            <w:pPr>
              <w:pStyle w:val="Compact"/>
            </w:pPr>
            <w:r>
              <w:t xml:space="preserve">1. Thought leadership – industry analysis pieces</w:t>
            </w:r>
            <w:r>
              <w:t xml:space="preserve">2. Research-backed marketing – data-driven claims</w:t>
            </w:r>
          </w:p>
        </w:tc>
      </w:tr>
      <w:tr>
        <w:tc>
          <w:tcPr/>
          <w:p>
            <w:pPr>
              <w:pStyle w:val="Compact"/>
            </w:pPr>
            <w:r>
              <w:rPr>
                <w:b/>
                <w:bCs/>
              </w:rPr>
              <w:t xml:space="preserve">Casual</w:t>
            </w:r>
          </w:p>
        </w:tc>
        <w:tc>
          <w:tcPr/>
          <w:p>
            <w:pPr>
              <w:pStyle w:val="Compact"/>
            </w:pPr>
            <w:r>
              <w:t xml:space="preserve">Paragraph, Bullets</w:t>
            </w:r>
          </w:p>
        </w:tc>
        <w:tc>
          <w:tcPr/>
          <w:p>
            <w:pPr>
              <w:pStyle w:val="Compact"/>
            </w:pPr>
            <w:r>
              <w:t xml:space="preserve">1. Social media – Twitter/LinkedIn posts</w:t>
            </w:r>
            <w:r>
              <w:t xml:space="preserve">2. Newsletter intros – friendly subscriber updates</w:t>
            </w:r>
          </w:p>
        </w:tc>
      </w:tr>
      <w:tr>
        <w:tc>
          <w:tcPr/>
          <w:p>
            <w:pPr>
              <w:pStyle w:val="Compact"/>
            </w:pPr>
            <w:r>
              <w:rPr>
                <w:b/>
                <w:bCs/>
              </w:rPr>
              <w:t xml:space="preserve">Instructive</w:t>
            </w:r>
          </w:p>
        </w:tc>
        <w:tc>
          <w:tcPr/>
          <w:p>
            <w:pPr>
              <w:pStyle w:val="Compact"/>
            </w:pPr>
            <w:r>
              <w:t xml:space="preserve">Steps, Bullets</w:t>
            </w:r>
          </w:p>
        </w:tc>
        <w:tc>
          <w:tcPr/>
          <w:p>
            <w:pPr>
              <w:pStyle w:val="Compact"/>
            </w:pPr>
            <w:r>
              <w:t xml:space="preserve">1. Product tutorials – feature announcements</w:t>
            </w:r>
            <w:r>
              <w:t xml:space="preserve">2. How-to marketing – educational content marketing</w:t>
            </w:r>
          </w:p>
        </w:tc>
      </w:tr>
    </w:tbl>
    <w:bookmarkStart w:id="30" w:name="non-obvious-winner-academic-paragraph"/>
    <w:p>
      <w:pPr>
        <w:pStyle w:val="Heading3"/>
      </w:pPr>
      <w:r>
        <w:t xml:space="preserve">Non-Obvious Winner: Academic + Paragraph</w:t>
      </w:r>
    </w:p>
    <w:p>
      <w:pPr>
        <w:pStyle w:val="FirstParagraph"/>
      </w:pPr>
      <w:r>
        <w:t xml:space="preserve">Counter-intuitive for marketing, but academic rigor in copy builds</w:t>
      </w:r>
      <w:r>
        <w:t xml:space="preserve"> </w:t>
      </w:r>
      <w:r>
        <w:rPr>
          <w:i/>
          <w:iCs/>
        </w:rPr>
        <w:t xml:space="preserve">trust</w:t>
      </w:r>
      <w:r>
        <w:t xml:space="preserve">. This is especially powerful for B2B, healthcare, fintech, or any industry where credibility drives conversions. The academic tone signals expertise while the paragraph format allows for nuanced argumentation.</w:t>
      </w:r>
    </w:p>
    <w:p>
      <w:pPr>
        <w:pStyle w:val="BodyText"/>
      </w:pPr>
      <w:r>
        <w:rPr>
          <w:b/>
          <w:bCs/>
        </w:rPr>
        <w:t xml:space="preserve">Best for:</w:t>
      </w:r>
      <w:r>
        <w:t xml:space="preserve"> </w:t>
      </w:r>
      <w:r>
        <w:t xml:space="preserve">White paper landing pages, healthcare marketing, financial services content, B2B thought leadership.</w:t>
      </w:r>
    </w:p>
    <w:p>
      <w:r>
        <w:pict>
          <v:rect style="width:0;height:1.5pt" o:hralign="center" o:hrstd="t" o:hr="t"/>
        </w:pict>
      </w:r>
    </w:p>
    <w:bookmarkEnd w:id="30"/>
    <w:bookmarkEnd w:id="31"/>
    <w:bookmarkStart w:id="33" w:name="comms-emailcommunication"/>
    <w:p>
      <w:pPr>
        <w:pStyle w:val="Heading2"/>
      </w:pPr>
      <w:r>
        <w:t xml:space="preserve">Comms (Email/Communication)</w:t>
      </w:r>
    </w:p>
    <w:p>
      <w:pPr>
        <w:pStyle w:val="FirstParagraph"/>
      </w:pPr>
      <w:r>
        <w:t xml:space="preserve">Communications require clarity and appropriate tone for the relationship. Format affects scannability and action-taking.</w:t>
      </w:r>
    </w:p>
    <w:tbl>
      <w:tblPr>
        <w:tblStyle w:val="Table"/>
        <w:tblW w:type="pct" w:w="5000"/>
        <w:tblLayout w:type="fixed"/>
        <w:tblLook w:firstRow="1" w:lastRow="0" w:firstColumn="0" w:lastColumn="0" w:noHBand="0" w:noVBand="0" w:val="0020"/>
      </w:tblPr>
      <w:tblGrid>
        <w:gridCol w:w="1357"/>
        <w:gridCol w:w="3168"/>
        <w:gridCol w:w="3394"/>
      </w:tblGrid>
      <w:tr>
        <w:trPr>
          <w:tblHeader w:val="on"/>
        </w:trPr>
        <w:tc>
          <w:tcPr/>
          <w:p>
            <w:pPr>
              <w:pStyle w:val="Compact"/>
            </w:pPr>
            <w:r>
              <w:t xml:space="preserve">Tone</w:t>
            </w:r>
          </w:p>
        </w:tc>
        <w:tc>
          <w:tcPr/>
          <w:p>
            <w:pPr>
              <w:pStyle w:val="Compact"/>
            </w:pPr>
            <w:r>
              <w:t xml:space="preserve">Best Formats</w:t>
            </w:r>
          </w:p>
        </w:tc>
        <w:tc>
          <w:tcPr/>
          <w:p>
            <w:pPr>
              <w:pStyle w:val="Compact"/>
            </w:pPr>
            <w:r>
              <w:t xml:space="preserve">Top Use Cases</w:t>
            </w:r>
          </w:p>
        </w:tc>
      </w:tr>
      <w:tr>
        <w:tc>
          <w:tcPr/>
          <w:p>
            <w:pPr>
              <w:pStyle w:val="Compact"/>
            </w:pPr>
            <w:r>
              <w:rPr>
                <w:b/>
                <w:bCs/>
              </w:rPr>
              <w:t xml:space="preserve">Professional</w:t>
            </w:r>
          </w:p>
        </w:tc>
        <w:tc>
          <w:tcPr/>
          <w:p>
            <w:pPr>
              <w:pStyle w:val="Compact"/>
            </w:pPr>
            <w:r>
              <w:t xml:space="preserve">Email, Bullets</w:t>
            </w:r>
          </w:p>
        </w:tc>
        <w:tc>
          <w:tcPr/>
          <w:p>
            <w:pPr>
              <w:pStyle w:val="Compact"/>
            </w:pPr>
            <w:r>
              <w:t xml:space="preserve">1. Executive updates – status reports to leadership</w:t>
            </w:r>
            <w:r>
              <w:t xml:space="preserve">2. Client correspondence – project updates</w:t>
            </w:r>
          </w:p>
        </w:tc>
      </w:tr>
      <w:tr>
        <w:tc>
          <w:tcPr/>
          <w:p>
            <w:pPr>
              <w:pStyle w:val="Compact"/>
            </w:pPr>
            <w:r>
              <w:rPr>
                <w:b/>
                <w:bCs/>
              </w:rPr>
              <w:t xml:space="preserve">Creative</w:t>
            </w:r>
          </w:p>
        </w:tc>
        <w:tc>
          <w:tcPr/>
          <w:p>
            <w:pPr>
              <w:pStyle w:val="Compact"/>
            </w:pPr>
            <w:r>
              <w:t xml:space="preserve">Email, Paragraph</w:t>
            </w:r>
          </w:p>
        </w:tc>
        <w:tc>
          <w:tcPr/>
          <w:p>
            <w:pPr>
              <w:pStyle w:val="Compact"/>
            </w:pPr>
            <w:r>
              <w:t xml:space="preserve">1. Campaign announcements – internal creative briefs</w:t>
            </w:r>
            <w:r>
              <w:t xml:space="preserve">2. Event invitations – engaging RSVPs</w:t>
            </w:r>
          </w:p>
        </w:tc>
      </w:tr>
      <w:tr>
        <w:tc>
          <w:tcPr/>
          <w:p>
            <w:pPr>
              <w:pStyle w:val="Compact"/>
            </w:pPr>
            <w:r>
              <w:rPr>
                <w:b/>
                <w:bCs/>
              </w:rPr>
              <w:t xml:space="preserve">Academic</w:t>
            </w:r>
          </w:p>
        </w:tc>
        <w:tc>
          <w:tcPr/>
          <w:p>
            <w:pPr>
              <w:pStyle w:val="Compact"/>
            </w:pPr>
            <w:r>
              <w:t xml:space="preserve">Email, Sections</w:t>
            </w:r>
          </w:p>
        </w:tc>
        <w:tc>
          <w:tcPr/>
          <w:p>
            <w:pPr>
              <w:pStyle w:val="Compact"/>
            </w:pPr>
            <w:r>
              <w:t xml:space="preserve">1. Research collaborations – grant proposals, paper submissions</w:t>
            </w:r>
            <w:r>
              <w:t xml:space="preserve">2. Peer review responses – addressing reviewer comments</w:t>
            </w:r>
          </w:p>
        </w:tc>
      </w:tr>
      <w:tr>
        <w:tc>
          <w:tcPr/>
          <w:p>
            <w:pPr>
              <w:pStyle w:val="Compact"/>
            </w:pPr>
            <w:r>
              <w:rPr>
                <w:b/>
                <w:bCs/>
              </w:rPr>
              <w:t xml:space="preserve">Casual</w:t>
            </w:r>
          </w:p>
        </w:tc>
        <w:tc>
          <w:tcPr/>
          <w:p>
            <w:pPr>
              <w:pStyle w:val="Compact"/>
            </w:pPr>
            <w:r>
              <w:t xml:space="preserve">Email, Bullets</w:t>
            </w:r>
          </w:p>
        </w:tc>
        <w:tc>
          <w:tcPr/>
          <w:p>
            <w:pPr>
              <w:pStyle w:val="Compact"/>
            </w:pPr>
            <w:r>
              <w:t xml:space="preserve">1. Team check-ins – weekly updates</w:t>
            </w:r>
            <w:r>
              <w:t xml:space="preserve">2. 1:1 follow-ups – meeting notes</w:t>
            </w:r>
          </w:p>
        </w:tc>
      </w:tr>
      <w:tr>
        <w:tc>
          <w:tcPr/>
          <w:p>
            <w:pPr>
              <w:pStyle w:val="Compact"/>
            </w:pPr>
            <w:r>
              <w:rPr>
                <w:b/>
                <w:bCs/>
              </w:rPr>
              <w:t xml:space="preserve">Instructive</w:t>
            </w:r>
          </w:p>
        </w:tc>
        <w:tc>
          <w:tcPr/>
          <w:p>
            <w:pPr>
              <w:pStyle w:val="Compact"/>
            </w:pPr>
            <w:r>
              <w:t xml:space="preserve">Email, Steps</w:t>
            </w:r>
          </w:p>
        </w:tc>
        <w:tc>
          <w:tcPr/>
          <w:p>
            <w:pPr>
              <w:pStyle w:val="Compact"/>
            </w:pPr>
            <w:r>
              <w:t xml:space="preserve">1. Onboarding sequences – new user welcome emails</w:t>
            </w:r>
            <w:r>
              <w:t xml:space="preserve">2. Process change notices – explaining new procedures</w:t>
            </w:r>
          </w:p>
        </w:tc>
      </w:tr>
    </w:tbl>
    <w:bookmarkStart w:id="32" w:name="non-obvious-winner-creative-email"/>
    <w:p>
      <w:pPr>
        <w:pStyle w:val="Heading3"/>
      </w:pPr>
      <w:r>
        <w:t xml:space="preserve">Non-Obvious Winner: Creative + Email</w:t>
      </w:r>
    </w:p>
    <w:p>
      <w:pPr>
        <w:pStyle w:val="FirstParagraph"/>
      </w:pPr>
      <w:r>
        <w:t xml:space="preserve">Most emails are forgettable. Creative tone transforms routine communications into memorable moments. This is especially powerful for internal culture-building, customer delight moments, or any communication where you want to stand out from the inbox noise.</w:t>
      </w:r>
    </w:p>
    <w:p>
      <w:pPr>
        <w:pStyle w:val="BodyText"/>
      </w:pPr>
      <w:r>
        <w:rPr>
          <w:b/>
          <w:bCs/>
        </w:rPr>
        <w:t xml:space="preserve">Best for:</w:t>
      </w:r>
      <w:r>
        <w:t xml:space="preserve"> </w:t>
      </w:r>
      <w:r>
        <w:t xml:space="preserve">Welcome emails, celebration announcements, creative brief distributions, customer milestone acknowledgments.</w:t>
      </w:r>
    </w:p>
    <w:p>
      <w:r>
        <w:pict>
          <v:rect style="width:0;height:1.5pt" o:hralign="center" o:hrstd="t" o:hr="t"/>
        </w:pict>
      </w:r>
    </w:p>
    <w:bookmarkEnd w:id="32"/>
    <w:bookmarkEnd w:id="33"/>
    <w:bookmarkStart w:id="34" w:name="top-10-non-obvious-power-combinations"/>
    <w:p>
      <w:pPr>
        <w:pStyle w:val="Heading2"/>
      </w:pPr>
      <w:r>
        <w:t xml:space="preserve">Top 10 Non-Obvious Power Combinations</w:t>
      </w:r>
    </w:p>
    <w:p>
      <w:pPr>
        <w:pStyle w:val="FirstParagraph"/>
      </w:pPr>
      <w:r>
        <w:t xml:space="preserve">These combinations may seem counterintuitive but yield exceptional results for specific use cases.</w:t>
      </w:r>
    </w:p>
    <w:tbl>
      <w:tblPr>
        <w:tblStyle w:val="Table"/>
        <w:tblW w:type="pct" w:w="5000"/>
        <w:tblLayout w:type="fixed"/>
        <w:tblLook w:firstRow="1" w:lastRow="0" w:firstColumn="0" w:lastColumn="0" w:noHBand="0" w:noVBand="0" w:val="0020"/>
      </w:tblPr>
      <w:tblGrid>
        <w:gridCol w:w="990"/>
        <w:gridCol w:w="2145"/>
        <w:gridCol w:w="2310"/>
        <w:gridCol w:w="2475"/>
      </w:tblGrid>
      <w:tr>
        <w:trPr>
          <w:tblHeader w:val="on"/>
        </w:trPr>
        <w:tc>
          <w:tcPr/>
          <w:p>
            <w:pPr>
              <w:pStyle w:val="Compact"/>
            </w:pPr>
            <w:r>
              <w:t xml:space="preserve">Rank</w:t>
            </w:r>
          </w:p>
        </w:tc>
        <w:tc>
          <w:tcPr/>
          <w:p>
            <w:pPr>
              <w:pStyle w:val="Compact"/>
            </w:pPr>
            <w:r>
              <w:t xml:space="preserve">Combination</w:t>
            </w:r>
          </w:p>
        </w:tc>
        <w:tc>
          <w:tcPr/>
          <w:p>
            <w:pPr>
              <w:pStyle w:val="Compact"/>
            </w:pPr>
            <w:r>
              <w:t xml:space="preserve">Why It Works</w:t>
            </w:r>
          </w:p>
        </w:tc>
        <w:tc>
          <w:tcPr/>
          <w:p>
            <w:pPr>
              <w:pStyle w:val="Compact"/>
            </w:pPr>
            <w:r>
              <w:t xml:space="preserve">Best Use Case</w:t>
            </w:r>
          </w:p>
        </w:tc>
      </w:tr>
      <w:tr>
        <w:tc>
          <w:tcPr/>
          <w:p>
            <w:pPr>
              <w:pStyle w:val="Compact"/>
            </w:pPr>
            <w:r>
              <w:t xml:space="preserve">1</w:t>
            </w:r>
          </w:p>
        </w:tc>
        <w:tc>
          <w:tcPr/>
          <w:p>
            <w:pPr>
              <w:pStyle w:val="Compact"/>
            </w:pPr>
            <w:r>
              <w:rPr>
                <w:b/>
                <w:bCs/>
              </w:rPr>
              <w:t xml:space="preserve">Deck + Academic + Bullets</w:t>
            </w:r>
          </w:p>
        </w:tc>
        <w:tc>
          <w:tcPr/>
          <w:p>
            <w:pPr>
              <w:pStyle w:val="Compact"/>
            </w:pPr>
            <w:r>
              <w:t xml:space="preserve">Authority + scannability</w:t>
            </w:r>
          </w:p>
        </w:tc>
        <w:tc>
          <w:tcPr/>
          <w:p>
            <w:pPr>
              <w:pStyle w:val="Compact"/>
            </w:pPr>
            <w:r>
              <w:t xml:space="preserve">Conference presentations</w:t>
            </w:r>
          </w:p>
        </w:tc>
      </w:tr>
      <w:tr>
        <w:tc>
          <w:tcPr/>
          <w:p>
            <w:pPr>
              <w:pStyle w:val="Compact"/>
            </w:pPr>
            <w:r>
              <w:t xml:space="preserve">2</w:t>
            </w:r>
          </w:p>
        </w:tc>
        <w:tc>
          <w:tcPr/>
          <w:p>
            <w:pPr>
              <w:pStyle w:val="Compact"/>
            </w:pPr>
            <w:r>
              <w:rPr>
                <w:b/>
                <w:bCs/>
              </w:rPr>
              <w:t xml:space="preserve">Copy + Academic + Paragraph</w:t>
            </w:r>
          </w:p>
        </w:tc>
        <w:tc>
          <w:tcPr/>
          <w:p>
            <w:pPr>
              <w:pStyle w:val="Compact"/>
            </w:pPr>
            <w:r>
              <w:t xml:space="preserve">Trust-building marketing</w:t>
            </w:r>
          </w:p>
        </w:tc>
        <w:tc>
          <w:tcPr/>
          <w:p>
            <w:pPr>
              <w:pStyle w:val="Compact"/>
            </w:pPr>
            <w:r>
              <w:t xml:space="preserve">Regulated industry content</w:t>
            </w:r>
          </w:p>
        </w:tc>
      </w:tr>
      <w:tr>
        <w:tc>
          <w:tcPr/>
          <w:p>
            <w:pPr>
              <w:pStyle w:val="Compact"/>
            </w:pPr>
            <w:r>
              <w:t xml:space="preserve">3</w:t>
            </w:r>
          </w:p>
        </w:tc>
        <w:tc>
          <w:tcPr/>
          <w:p>
            <w:pPr>
              <w:pStyle w:val="Compact"/>
            </w:pPr>
            <w:r>
              <w:rPr>
                <w:b/>
                <w:bCs/>
              </w:rPr>
              <w:t xml:space="preserve">Code + Creative + Paragraph</w:t>
            </w:r>
          </w:p>
        </w:tc>
        <w:tc>
          <w:tcPr/>
          <w:p>
            <w:pPr>
              <w:pStyle w:val="Compact"/>
            </w:pPr>
            <w:r>
              <w:t xml:space="preserve">Makes algorithms memorable</w:t>
            </w:r>
          </w:p>
        </w:tc>
        <w:tc>
          <w:tcPr/>
          <w:p>
            <w:pPr>
              <w:pStyle w:val="Compact"/>
            </w:pPr>
            <w:r>
              <w:t xml:space="preserve">Technical blog posts</w:t>
            </w:r>
          </w:p>
        </w:tc>
      </w:tr>
      <w:tr>
        <w:tc>
          <w:tcPr/>
          <w:p>
            <w:pPr>
              <w:pStyle w:val="Compact"/>
            </w:pPr>
            <w:r>
              <w:t xml:space="preserve">4</w:t>
            </w:r>
          </w:p>
        </w:tc>
        <w:tc>
          <w:tcPr/>
          <w:p>
            <w:pPr>
              <w:pStyle w:val="Compact"/>
            </w:pPr>
            <w:r>
              <w:rPr>
                <w:b/>
                <w:bCs/>
              </w:rPr>
              <w:t xml:space="preserve">Data + Creative + Table</w:t>
            </w:r>
          </w:p>
        </w:tc>
        <w:tc>
          <w:tcPr/>
          <w:p>
            <w:pPr>
              <w:pStyle w:val="Compact"/>
            </w:pPr>
            <w:r>
              <w:t xml:space="preserve">Inspiring structured content</w:t>
            </w:r>
          </w:p>
        </w:tc>
        <w:tc>
          <w:tcPr/>
          <w:p>
            <w:pPr>
              <w:pStyle w:val="Compact"/>
            </w:pPr>
            <w:r>
              <w:t xml:space="preserve">Content calendars</w:t>
            </w:r>
          </w:p>
        </w:tc>
      </w:tr>
      <w:tr>
        <w:tc>
          <w:tcPr/>
          <w:p>
            <w:pPr>
              <w:pStyle w:val="Compact"/>
            </w:pPr>
            <w:r>
              <w:t xml:space="preserve">5</w:t>
            </w:r>
          </w:p>
        </w:tc>
        <w:tc>
          <w:tcPr/>
          <w:p>
            <w:pPr>
              <w:pStyle w:val="Compact"/>
            </w:pPr>
            <w:r>
              <w:rPr>
                <w:b/>
                <w:bCs/>
              </w:rPr>
              <w:t xml:space="preserve">Comms + Creative + Email</w:t>
            </w:r>
          </w:p>
        </w:tc>
        <w:tc>
          <w:tcPr/>
          <w:p>
            <w:pPr>
              <w:pStyle w:val="Compact"/>
            </w:pPr>
            <w:r>
              <w:t xml:space="preserve">Memorable communications</w:t>
            </w:r>
          </w:p>
        </w:tc>
        <w:tc>
          <w:tcPr/>
          <w:p>
            <w:pPr>
              <w:pStyle w:val="Compact"/>
            </w:pPr>
            <w:r>
              <w:t xml:space="preserve">Customer delight emails</w:t>
            </w:r>
          </w:p>
        </w:tc>
      </w:tr>
      <w:tr>
        <w:tc>
          <w:tcPr/>
          <w:p>
            <w:pPr>
              <w:pStyle w:val="Compact"/>
            </w:pPr>
            <w:r>
              <w:t xml:space="preserve">6</w:t>
            </w:r>
          </w:p>
        </w:tc>
        <w:tc>
          <w:tcPr/>
          <w:p>
            <w:pPr>
              <w:pStyle w:val="Compact"/>
            </w:pPr>
            <w:r>
              <w:rPr>
                <w:b/>
                <w:bCs/>
              </w:rPr>
              <w:t xml:space="preserve">Doc + Instructive + Steps</w:t>
            </w:r>
          </w:p>
        </w:tc>
        <w:tc>
          <w:tcPr/>
          <w:p>
            <w:pPr>
              <w:pStyle w:val="Compact"/>
            </w:pPr>
            <w:r>
              <w:t xml:space="preserve">Actionable documentation</w:t>
            </w:r>
          </w:p>
        </w:tc>
        <w:tc>
          <w:tcPr/>
          <w:p>
            <w:pPr>
              <w:pStyle w:val="Compact"/>
            </w:pPr>
            <w:r>
              <w:t xml:space="preserve">Incident runbooks</w:t>
            </w:r>
          </w:p>
        </w:tc>
      </w:tr>
      <w:tr>
        <w:tc>
          <w:tcPr/>
          <w:p>
            <w:pPr>
              <w:pStyle w:val="Compact"/>
            </w:pPr>
            <w:r>
              <w:t xml:space="preserve">7</w:t>
            </w:r>
          </w:p>
        </w:tc>
        <w:tc>
          <w:tcPr/>
          <w:p>
            <w:pPr>
              <w:pStyle w:val="Compact"/>
            </w:pPr>
            <w:r>
              <w:rPr>
                <w:b/>
                <w:bCs/>
              </w:rPr>
              <w:t xml:space="preserve">Deck + Instructive + Steps</w:t>
            </w:r>
          </w:p>
        </w:tc>
        <w:tc>
          <w:tcPr/>
          <w:p>
            <w:pPr>
              <w:pStyle w:val="Compact"/>
            </w:pPr>
            <w:r>
              <w:t xml:space="preserve">Training that sticks</w:t>
            </w:r>
          </w:p>
        </w:tc>
        <w:tc>
          <w:tcPr/>
          <w:p>
            <w:pPr>
              <w:pStyle w:val="Compact"/>
            </w:pPr>
            <w:r>
              <w:t xml:space="preserve">Workshop materials</w:t>
            </w:r>
          </w:p>
        </w:tc>
      </w:tr>
      <w:tr>
        <w:tc>
          <w:tcPr/>
          <w:p>
            <w:pPr>
              <w:pStyle w:val="Compact"/>
            </w:pPr>
            <w:r>
              <w:t xml:space="preserve">8</w:t>
            </w:r>
          </w:p>
        </w:tc>
        <w:tc>
          <w:tcPr/>
          <w:p>
            <w:pPr>
              <w:pStyle w:val="Compact"/>
            </w:pPr>
            <w:r>
              <w:rPr>
                <w:b/>
                <w:bCs/>
              </w:rPr>
              <w:t xml:space="preserve">Copy + Instructive + Steps</w:t>
            </w:r>
          </w:p>
        </w:tc>
        <w:tc>
          <w:tcPr/>
          <w:p>
            <w:pPr>
              <w:pStyle w:val="Compact"/>
            </w:pPr>
            <w:r>
              <w:t xml:space="preserve">Educational marketing</w:t>
            </w:r>
          </w:p>
        </w:tc>
        <w:tc>
          <w:tcPr/>
          <w:p>
            <w:pPr>
              <w:pStyle w:val="Compact"/>
            </w:pPr>
            <w:r>
              <w:t xml:space="preserve">Product tutorials</w:t>
            </w:r>
          </w:p>
        </w:tc>
      </w:tr>
      <w:tr>
        <w:tc>
          <w:tcPr/>
          <w:p>
            <w:pPr>
              <w:pStyle w:val="Compact"/>
            </w:pPr>
            <w:r>
              <w:t xml:space="preserve">9</w:t>
            </w:r>
          </w:p>
        </w:tc>
        <w:tc>
          <w:tcPr/>
          <w:p>
            <w:pPr>
              <w:pStyle w:val="Compact"/>
            </w:pPr>
            <w:r>
              <w:rPr>
                <w:b/>
                <w:bCs/>
              </w:rPr>
              <w:t xml:space="preserve">Data + Instructive + Table</w:t>
            </w:r>
          </w:p>
        </w:tc>
        <w:tc>
          <w:tcPr/>
          <w:p>
            <w:pPr>
              <w:pStyle w:val="Compact"/>
            </w:pPr>
            <w:r>
              <w:t xml:space="preserve">Usable decision aids</w:t>
            </w:r>
          </w:p>
        </w:tc>
        <w:tc>
          <w:tcPr/>
          <w:p>
            <w:pPr>
              <w:pStyle w:val="Compact"/>
            </w:pPr>
            <w:r>
              <w:t xml:space="preserve">Troubleshooting guides</w:t>
            </w:r>
          </w:p>
        </w:tc>
      </w:tr>
      <w:tr>
        <w:tc>
          <w:tcPr/>
          <w:p>
            <w:pPr>
              <w:pStyle w:val="Compact"/>
            </w:pPr>
            <w:r>
              <w:t xml:space="preserve">10</w:t>
            </w:r>
          </w:p>
        </w:tc>
        <w:tc>
          <w:tcPr/>
          <w:p>
            <w:pPr>
              <w:pStyle w:val="Compact"/>
            </w:pPr>
            <w:r>
              <w:rPr>
                <w:b/>
                <w:bCs/>
              </w:rPr>
              <w:t xml:space="preserve">Comms + Academic + Sections</w:t>
            </w:r>
          </w:p>
        </w:tc>
        <w:tc>
          <w:tcPr/>
          <w:p>
            <w:pPr>
              <w:pStyle w:val="Compact"/>
            </w:pPr>
            <w:r>
              <w:t xml:space="preserve">Credible proposals</w:t>
            </w:r>
          </w:p>
        </w:tc>
        <w:tc>
          <w:tcPr/>
          <w:p>
            <w:pPr>
              <w:pStyle w:val="Compact"/>
            </w:pPr>
            <w:r>
              <w:t xml:space="preserve">Grant applications</w:t>
            </w:r>
          </w:p>
        </w:tc>
      </w:tr>
    </w:tbl>
    <w:p>
      <w:r>
        <w:pict>
          <v:rect style="width:0;height:1.5pt" o:hralign="center" o:hrstd="t" o:hr="t"/>
        </w:pict>
      </w:r>
    </w:p>
    <w:bookmarkEnd w:id="34"/>
    <w:bookmarkStart w:id="35" w:name="combinations-to-avoid"/>
    <w:p>
      <w:pPr>
        <w:pStyle w:val="Heading2"/>
      </w:pPr>
      <w:r>
        <w:t xml:space="preserve">Combinations to Avoid</w:t>
      </w:r>
    </w:p>
    <w:p>
      <w:pPr>
        <w:pStyle w:val="FirstParagraph"/>
      </w:pPr>
      <w:r>
        <w:t xml:space="preserve">Some combinations create friction between the output type’s purpose and the tone/format pairing.</w:t>
      </w:r>
    </w:p>
    <w:tbl>
      <w:tblPr>
        <w:tblStyle w:val="Table"/>
        <w:tblW w:type="pct" w:w="5000"/>
        <w:tblLayout w:type="fixed"/>
        <w:tblLook w:firstRow="1" w:lastRow="0" w:firstColumn="0" w:lastColumn="0" w:noHBand="0" w:noVBand="0" w:val="0020"/>
      </w:tblPr>
      <w:tblGrid>
        <w:gridCol w:w="3813"/>
        <w:gridCol w:w="4106"/>
      </w:tblGrid>
      <w:tr>
        <w:trPr>
          <w:tblHeader w:val="on"/>
        </w:trPr>
        <w:tc>
          <w:tcPr/>
          <w:p>
            <w:pPr>
              <w:pStyle w:val="Compact"/>
            </w:pPr>
            <w:r>
              <w:t xml:space="preserve">Combination</w:t>
            </w:r>
          </w:p>
        </w:tc>
        <w:tc>
          <w:tcPr/>
          <w:p>
            <w:pPr>
              <w:pStyle w:val="Compact"/>
            </w:pPr>
            <w:r>
              <w:t xml:space="preserve">Why It Fails</w:t>
            </w:r>
          </w:p>
        </w:tc>
      </w:tr>
      <w:tr>
        <w:tc>
          <w:tcPr/>
          <w:p>
            <w:pPr>
              <w:pStyle w:val="Compact"/>
            </w:pPr>
            <w:r>
              <w:rPr>
                <w:b/>
                <w:bCs/>
              </w:rPr>
              <w:t xml:space="preserve">Code + Casual + Paragraph</w:t>
            </w:r>
          </w:p>
        </w:tc>
        <w:tc>
          <w:tcPr/>
          <w:p>
            <w:pPr>
              <w:pStyle w:val="Compact"/>
            </w:pPr>
            <w:r>
              <w:t xml:space="preserve">Too loose for production code; lacks precision</w:t>
            </w:r>
          </w:p>
        </w:tc>
      </w:tr>
      <w:tr>
        <w:tc>
          <w:tcPr/>
          <w:p>
            <w:pPr>
              <w:pStyle w:val="Compact"/>
            </w:pPr>
            <w:r>
              <w:rPr>
                <w:b/>
                <w:bCs/>
              </w:rPr>
              <w:t xml:space="preserve">Data + Creative + Paragraph</w:t>
            </w:r>
          </w:p>
        </w:tc>
        <w:tc>
          <w:tcPr/>
          <w:p>
            <w:pPr>
              <w:pStyle w:val="Compact"/>
            </w:pPr>
            <w:r>
              <w:t xml:space="preserve">Creativity fights the structure data needs</w:t>
            </w:r>
          </w:p>
        </w:tc>
      </w:tr>
      <w:tr>
        <w:tc>
          <w:tcPr/>
          <w:p>
            <w:pPr>
              <w:pStyle w:val="Compact"/>
            </w:pPr>
            <w:r>
              <w:rPr>
                <w:b/>
                <w:bCs/>
              </w:rPr>
              <w:t xml:space="preserve">Comms + Academic + Q&amp;A</w:t>
            </w:r>
          </w:p>
        </w:tc>
        <w:tc>
          <w:tcPr/>
          <w:p>
            <w:pPr>
              <w:pStyle w:val="Compact"/>
            </w:pPr>
            <w:r>
              <w:t xml:space="preserve">Emails shouldn’t feel like interrogations</w:t>
            </w:r>
          </w:p>
        </w:tc>
      </w:tr>
      <w:tr>
        <w:tc>
          <w:tcPr/>
          <w:p>
            <w:pPr>
              <w:pStyle w:val="Compact"/>
            </w:pPr>
            <w:r>
              <w:rPr>
                <w:b/>
                <w:bCs/>
              </w:rPr>
              <w:t xml:space="preserve">Deck + Academic + Paragraph</w:t>
            </w:r>
          </w:p>
        </w:tc>
        <w:tc>
          <w:tcPr/>
          <w:p>
            <w:pPr>
              <w:pStyle w:val="Compact"/>
            </w:pPr>
            <w:r>
              <w:t xml:space="preserve">Walls of text don’t work on slides</w:t>
            </w:r>
          </w:p>
        </w:tc>
      </w:tr>
      <w:tr>
        <w:tc>
          <w:tcPr/>
          <w:p>
            <w:pPr>
              <w:pStyle w:val="Compact"/>
            </w:pPr>
            <w:r>
              <w:rPr>
                <w:b/>
                <w:bCs/>
              </w:rPr>
              <w:t xml:space="preserve">Copy + Instructive + JSON</w:t>
            </w:r>
          </w:p>
        </w:tc>
        <w:tc>
          <w:tcPr/>
          <w:p>
            <w:pPr>
              <w:pStyle w:val="Compact"/>
            </w:pPr>
            <w:r>
              <w:t xml:space="preserve">Marketing isn’t machine-readable</w:t>
            </w:r>
          </w:p>
        </w:tc>
      </w:tr>
      <w:tr>
        <w:tc>
          <w:tcPr/>
          <w:p>
            <w:pPr>
              <w:pStyle w:val="Compact"/>
            </w:pPr>
            <w:r>
              <w:rPr>
                <w:b/>
                <w:bCs/>
              </w:rPr>
              <w:t xml:space="preserve">Data + Casual + Paragraph</w:t>
            </w:r>
          </w:p>
        </w:tc>
        <w:tc>
          <w:tcPr/>
          <w:p>
            <w:pPr>
              <w:pStyle w:val="Compact"/>
            </w:pPr>
            <w:r>
              <w:t xml:space="preserve">Data loses meaning without structure</w:t>
            </w:r>
          </w:p>
        </w:tc>
      </w:tr>
      <w:tr>
        <w:tc>
          <w:tcPr/>
          <w:p>
            <w:pPr>
              <w:pStyle w:val="Compact"/>
            </w:pPr>
            <w:r>
              <w:rPr>
                <w:b/>
                <w:bCs/>
              </w:rPr>
              <w:t xml:space="preserve">Deck + Creative + Paragraph</w:t>
            </w:r>
          </w:p>
        </w:tc>
        <w:tc>
          <w:tcPr/>
          <w:p>
            <w:pPr>
              <w:pStyle w:val="Compact"/>
            </w:pPr>
            <w:r>
              <w:t xml:space="preserve">Slides need scannable chunks, not prose</w:t>
            </w:r>
          </w:p>
        </w:tc>
      </w:tr>
    </w:tbl>
    <w:p>
      <w:r>
        <w:pict>
          <v:rect style="width:0;height:1.5pt" o:hralign="center" o:hrstd="t" o:hr="t"/>
        </w:pict>
      </w:r>
    </w:p>
    <w:bookmarkEnd w:id="35"/>
    <w:bookmarkStart w:id="36" w:name="Xb4d81fb93280352ee0641bebc6827915bd7ec48"/>
    <w:p>
      <w:pPr>
        <w:pStyle w:val="Heading2"/>
      </w:pPr>
      <w:r>
        <w:t xml:space="preserve">Quick Reference: Best Format by Output 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 Type</w:t>
            </w:r>
          </w:p>
        </w:tc>
        <w:tc>
          <w:tcPr/>
          <w:p>
            <w:pPr>
              <w:pStyle w:val="Compact"/>
            </w:pPr>
            <w:r>
              <w:t xml:space="preserve">Primary Format</w:t>
            </w:r>
          </w:p>
        </w:tc>
        <w:tc>
          <w:tcPr/>
          <w:p>
            <w:pPr>
              <w:pStyle w:val="Compact"/>
            </w:pPr>
            <w:r>
              <w:t xml:space="preserve">Secondary Format</w:t>
            </w:r>
          </w:p>
        </w:tc>
        <w:tc>
          <w:tcPr/>
          <w:p>
            <w:pPr>
              <w:pStyle w:val="Compact"/>
            </w:pPr>
            <w:r>
              <w:t xml:space="preserve">Avoid</w:t>
            </w:r>
          </w:p>
        </w:tc>
      </w:tr>
      <w:tr>
        <w:tc>
          <w:tcPr/>
          <w:p>
            <w:pPr>
              <w:pStyle w:val="Compact"/>
            </w:pPr>
            <w:r>
              <w:rPr>
                <w:b/>
                <w:bCs/>
              </w:rPr>
              <w:t xml:space="preserve">Deck</w:t>
            </w:r>
          </w:p>
        </w:tc>
        <w:tc>
          <w:tcPr/>
          <w:p>
            <w:pPr>
              <w:pStyle w:val="Compact"/>
            </w:pPr>
            <w:r>
              <w:t xml:space="preserve">Bullets</w:t>
            </w:r>
          </w:p>
        </w:tc>
        <w:tc>
          <w:tcPr/>
          <w:p>
            <w:pPr>
              <w:pStyle w:val="Compact"/>
            </w:pPr>
            <w:r>
              <w:t xml:space="preserve">Numbered</w:t>
            </w:r>
          </w:p>
        </w:tc>
        <w:tc>
          <w:tcPr/>
          <w:p>
            <w:pPr>
              <w:pStyle w:val="Compact"/>
            </w:pPr>
            <w:r>
              <w:t xml:space="preserve">Paragraph</w:t>
            </w:r>
          </w:p>
        </w:tc>
      </w:tr>
      <w:tr>
        <w:tc>
          <w:tcPr/>
          <w:p>
            <w:pPr>
              <w:pStyle w:val="Compact"/>
            </w:pPr>
            <w:r>
              <w:rPr>
                <w:b/>
                <w:bCs/>
              </w:rPr>
              <w:t xml:space="preserve">Doc</w:t>
            </w:r>
          </w:p>
        </w:tc>
        <w:tc>
          <w:tcPr/>
          <w:p>
            <w:pPr>
              <w:pStyle w:val="Compact"/>
            </w:pPr>
            <w:r>
              <w:t xml:space="preserve">Sections</w:t>
            </w:r>
          </w:p>
        </w:tc>
        <w:tc>
          <w:tcPr/>
          <w:p>
            <w:pPr>
              <w:pStyle w:val="Compact"/>
            </w:pPr>
            <w:r>
              <w:t xml:space="preserve">Paragraph</w:t>
            </w:r>
          </w:p>
        </w:tc>
        <w:tc>
          <w:tcPr/>
          <w:p>
            <w:pPr>
              <w:pStyle w:val="Compact"/>
            </w:pPr>
            <w:r>
              <w:t xml:space="preserve">JSON</w:t>
            </w:r>
          </w:p>
        </w:tc>
      </w:tr>
      <w:tr>
        <w:tc>
          <w:tcPr/>
          <w:p>
            <w:pPr>
              <w:pStyle w:val="Compact"/>
            </w:pPr>
            <w:r>
              <w:rPr>
                <w:b/>
                <w:bCs/>
              </w:rPr>
              <w:t xml:space="preserve">Data</w:t>
            </w:r>
          </w:p>
        </w:tc>
        <w:tc>
          <w:tcPr/>
          <w:p>
            <w:pPr>
              <w:pStyle w:val="Compact"/>
            </w:pPr>
            <w:r>
              <w:t xml:space="preserve">Table</w:t>
            </w:r>
          </w:p>
        </w:tc>
        <w:tc>
          <w:tcPr/>
          <w:p>
            <w:pPr>
              <w:pStyle w:val="Compact"/>
            </w:pPr>
            <w:r>
              <w:t xml:space="preserve">JSON</w:t>
            </w:r>
          </w:p>
        </w:tc>
        <w:tc>
          <w:tcPr/>
          <w:p>
            <w:pPr>
              <w:pStyle w:val="Compact"/>
            </w:pPr>
            <w:r>
              <w:t xml:space="preserve">Paragraph</w:t>
            </w:r>
          </w:p>
        </w:tc>
      </w:tr>
      <w:tr>
        <w:tc>
          <w:tcPr/>
          <w:p>
            <w:pPr>
              <w:pStyle w:val="Compact"/>
            </w:pPr>
            <w:r>
              <w:rPr>
                <w:b/>
                <w:bCs/>
              </w:rPr>
              <w:t xml:space="preserve">Code</w:t>
            </w:r>
          </w:p>
        </w:tc>
        <w:tc>
          <w:tcPr/>
          <w:p>
            <w:pPr>
              <w:pStyle w:val="Compact"/>
            </w:pPr>
            <w:r>
              <w:t xml:space="preserve">Sections</w:t>
            </w:r>
          </w:p>
        </w:tc>
        <w:tc>
          <w:tcPr/>
          <w:p>
            <w:pPr>
              <w:pStyle w:val="Compact"/>
            </w:pPr>
            <w:r>
              <w:t xml:space="preserve">Steps</w:t>
            </w:r>
          </w:p>
        </w:tc>
        <w:tc>
          <w:tcPr/>
          <w:p>
            <w:pPr>
              <w:pStyle w:val="Compact"/>
            </w:pPr>
            <w:r>
              <w:t xml:space="preserve">Email</w:t>
            </w:r>
          </w:p>
        </w:tc>
      </w:tr>
      <w:tr>
        <w:tc>
          <w:tcPr/>
          <w:p>
            <w:pPr>
              <w:pStyle w:val="Compact"/>
            </w:pPr>
            <w:r>
              <w:rPr>
                <w:b/>
                <w:bCs/>
              </w:rPr>
              <w:t xml:space="preserve">Copy</w:t>
            </w:r>
          </w:p>
        </w:tc>
        <w:tc>
          <w:tcPr/>
          <w:p>
            <w:pPr>
              <w:pStyle w:val="Compact"/>
            </w:pPr>
            <w:r>
              <w:t xml:space="preserve">Paragraph</w:t>
            </w:r>
          </w:p>
        </w:tc>
        <w:tc>
          <w:tcPr/>
          <w:p>
            <w:pPr>
              <w:pStyle w:val="Compact"/>
            </w:pPr>
            <w:r>
              <w:t xml:space="preserve">Bullets</w:t>
            </w:r>
          </w:p>
        </w:tc>
        <w:tc>
          <w:tcPr/>
          <w:p>
            <w:pPr>
              <w:pStyle w:val="Compact"/>
            </w:pPr>
            <w:r>
              <w:t xml:space="preserve">JSON, Table</w:t>
            </w:r>
          </w:p>
        </w:tc>
      </w:tr>
      <w:tr>
        <w:tc>
          <w:tcPr/>
          <w:p>
            <w:pPr>
              <w:pStyle w:val="Compact"/>
            </w:pPr>
            <w:r>
              <w:rPr>
                <w:b/>
                <w:bCs/>
              </w:rPr>
              <w:t xml:space="preserve">Comms</w:t>
            </w:r>
          </w:p>
        </w:tc>
        <w:tc>
          <w:tcPr/>
          <w:p>
            <w:pPr>
              <w:pStyle w:val="Compact"/>
            </w:pPr>
            <w:r>
              <w:t xml:space="preserve">Email</w:t>
            </w:r>
          </w:p>
        </w:tc>
        <w:tc>
          <w:tcPr/>
          <w:p>
            <w:pPr>
              <w:pStyle w:val="Compact"/>
            </w:pPr>
            <w:r>
              <w:t xml:space="preserve">Bullets</w:t>
            </w:r>
          </w:p>
        </w:tc>
        <w:tc>
          <w:tcPr/>
          <w:p>
            <w:pPr>
              <w:pStyle w:val="Compact"/>
            </w:pPr>
            <w:r>
              <w:t xml:space="preserve">JSON, Table</w:t>
            </w:r>
          </w:p>
        </w:tc>
      </w:tr>
    </w:tbl>
    <w:p>
      <w:r>
        <w:pict>
          <v:rect style="width:0;height:1.5pt" o:hralign="center" o:hrstd="t" o:hr="t"/>
        </w:pict>
      </w:r>
    </w:p>
    <w:bookmarkEnd w:id="36"/>
    <w:bookmarkStart w:id="37" w:name="quick-reference-best-tone-by-intent"/>
    <w:p>
      <w:pPr>
        <w:pStyle w:val="Heading2"/>
      </w:pPr>
      <w:r>
        <w:t xml:space="preserve">Quick Reference: Best Tone by Intent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Intent</w:t>
            </w:r>
          </w:p>
        </w:tc>
        <w:tc>
          <w:tcPr/>
          <w:p>
            <w:pPr>
              <w:pStyle w:val="Compact"/>
            </w:pPr>
            <w:r>
              <w:t xml:space="preserve">Primary Tone</w:t>
            </w:r>
          </w:p>
        </w:tc>
        <w:tc>
          <w:tcPr/>
          <w:p>
            <w:pPr>
              <w:pStyle w:val="Compact"/>
            </w:pPr>
            <w:r>
              <w:t xml:space="preserve">Secondary Tone</w:t>
            </w:r>
          </w:p>
        </w:tc>
      </w:tr>
      <w:tr>
        <w:tc>
          <w:tcPr/>
          <w:p>
            <w:pPr>
              <w:pStyle w:val="Compact"/>
            </w:pPr>
            <w:r>
              <w:rPr>
                <w:b/>
                <w:bCs/>
              </w:rPr>
              <w:t xml:space="preserve">Persuade</w:t>
            </w:r>
          </w:p>
        </w:tc>
        <w:tc>
          <w:tcPr/>
          <w:p>
            <w:pPr>
              <w:pStyle w:val="Compact"/>
            </w:pPr>
            <w:r>
              <w:t xml:space="preserve">Creative</w:t>
            </w:r>
          </w:p>
        </w:tc>
        <w:tc>
          <w:tcPr/>
          <w:p>
            <w:pPr>
              <w:pStyle w:val="Compact"/>
            </w:pPr>
            <w:r>
              <w:t xml:space="preserve">Professional</w:t>
            </w:r>
          </w:p>
        </w:tc>
      </w:tr>
      <w:tr>
        <w:tc>
          <w:tcPr/>
          <w:p>
            <w:pPr>
              <w:pStyle w:val="Compact"/>
            </w:pPr>
            <w:r>
              <w:rPr>
                <w:b/>
                <w:bCs/>
              </w:rPr>
              <w:t xml:space="preserve">Inform</w:t>
            </w:r>
          </w:p>
        </w:tc>
        <w:tc>
          <w:tcPr/>
          <w:p>
            <w:pPr>
              <w:pStyle w:val="Compact"/>
            </w:pPr>
            <w:r>
              <w:t xml:space="preserve">Professional</w:t>
            </w:r>
          </w:p>
        </w:tc>
        <w:tc>
          <w:tcPr/>
          <w:p>
            <w:pPr>
              <w:pStyle w:val="Compact"/>
            </w:pPr>
            <w:r>
              <w:t xml:space="preserve">Instructive</w:t>
            </w:r>
          </w:p>
        </w:tc>
      </w:tr>
      <w:tr>
        <w:tc>
          <w:tcPr/>
          <w:p>
            <w:pPr>
              <w:pStyle w:val="Compact"/>
            </w:pPr>
            <w:r>
              <w:rPr>
                <w:b/>
                <w:bCs/>
              </w:rPr>
              <w:t xml:space="preserve">Teach</w:t>
            </w:r>
          </w:p>
        </w:tc>
        <w:tc>
          <w:tcPr/>
          <w:p>
            <w:pPr>
              <w:pStyle w:val="Compact"/>
            </w:pPr>
            <w:r>
              <w:t xml:space="preserve">Instructive</w:t>
            </w:r>
          </w:p>
        </w:tc>
        <w:tc>
          <w:tcPr/>
          <w:p>
            <w:pPr>
              <w:pStyle w:val="Compact"/>
            </w:pPr>
            <w:r>
              <w:t xml:space="preserve">Casual</w:t>
            </w:r>
          </w:p>
        </w:tc>
      </w:tr>
      <w:tr>
        <w:tc>
          <w:tcPr/>
          <w:p>
            <w:pPr>
              <w:pStyle w:val="Compact"/>
            </w:pPr>
            <w:r>
              <w:rPr>
                <w:b/>
                <w:bCs/>
              </w:rPr>
              <w:t xml:space="preserve">Impress</w:t>
            </w:r>
          </w:p>
        </w:tc>
        <w:tc>
          <w:tcPr/>
          <w:p>
            <w:pPr>
              <w:pStyle w:val="Compact"/>
            </w:pPr>
            <w:r>
              <w:t xml:space="preserve">Academic</w:t>
            </w:r>
          </w:p>
        </w:tc>
        <w:tc>
          <w:tcPr/>
          <w:p>
            <w:pPr>
              <w:pStyle w:val="Compact"/>
            </w:pPr>
            <w:r>
              <w:t xml:space="preserve">Professional</w:t>
            </w:r>
          </w:p>
        </w:tc>
      </w:tr>
      <w:tr>
        <w:tc>
          <w:tcPr/>
          <w:p>
            <w:pPr>
              <w:pStyle w:val="Compact"/>
            </w:pPr>
            <w:r>
              <w:rPr>
                <w:b/>
                <w:bCs/>
              </w:rPr>
              <w:t xml:space="preserve">Connect</w:t>
            </w:r>
          </w:p>
        </w:tc>
        <w:tc>
          <w:tcPr/>
          <w:p>
            <w:pPr>
              <w:pStyle w:val="Compact"/>
            </w:pPr>
            <w:r>
              <w:t xml:space="preserve">Casual</w:t>
            </w:r>
          </w:p>
        </w:tc>
        <w:tc>
          <w:tcPr/>
          <w:p>
            <w:pPr>
              <w:pStyle w:val="Compact"/>
            </w:pPr>
            <w:r>
              <w:t xml:space="preserve">Creative</w:t>
            </w:r>
          </w:p>
        </w:tc>
      </w:tr>
      <w:tr>
        <w:tc>
          <w:tcPr/>
          <w:p>
            <w:pPr>
              <w:pStyle w:val="Compact"/>
            </w:pPr>
            <w:r>
              <w:rPr>
                <w:b/>
                <w:bCs/>
              </w:rPr>
              <w:t xml:space="preserve">Document</w:t>
            </w:r>
          </w:p>
        </w:tc>
        <w:tc>
          <w:tcPr/>
          <w:p>
            <w:pPr>
              <w:pStyle w:val="Compact"/>
            </w:pPr>
            <w:r>
              <w:t xml:space="preserve">Professional</w:t>
            </w:r>
          </w:p>
        </w:tc>
        <w:tc>
          <w:tcPr/>
          <w:p>
            <w:pPr>
              <w:pStyle w:val="Compact"/>
            </w:pPr>
            <w:r>
              <w:t xml:space="preserve">Academic</w:t>
            </w:r>
          </w:p>
        </w:tc>
      </w:tr>
    </w:tbl>
    <w:p>
      <w:r>
        <w:pict>
          <v:rect style="width:0;height:1.5pt" o:hralign="center" o:hrstd="t" o:hr="t"/>
        </w:pict>
      </w:r>
    </w:p>
    <w:bookmarkEnd w:id="37"/>
    <w:bookmarkStart w:id="38" w:name="conclusion"/>
    <w:p>
      <w:pPr>
        <w:pStyle w:val="Heading2"/>
      </w:pPr>
      <w:r>
        <w:t xml:space="preserve">Conclusion</w:t>
      </w:r>
    </w:p>
    <w:p>
      <w:pPr>
        <w:pStyle w:val="FirstParagraph"/>
      </w:pPr>
      <w:r>
        <w:t xml:space="preserve">The most effective combinations often come from understanding the</w:t>
      </w:r>
      <w:r>
        <w:t xml:space="preserve"> </w:t>
      </w:r>
      <w:r>
        <w:rPr>
          <w:i/>
          <w:iCs/>
        </w:rPr>
        <w:t xml:space="preserve">tension</w:t>
      </w:r>
      <w:r>
        <w:t xml:space="preserve"> </w:t>
      </w:r>
      <w:r>
        <w:t xml:space="preserve">between elements:</w:t>
      </w:r>
    </w:p>
    <w:p>
      <w:pPr>
        <w:pStyle w:val="Compact"/>
        <w:numPr>
          <w:ilvl w:val="0"/>
          <w:numId w:val="1001"/>
        </w:numPr>
      </w:pPr>
      <w:r>
        <w:rPr>
          <w:b/>
          <w:bCs/>
        </w:rPr>
        <w:t xml:space="preserve">Academic tone + accessible format</w:t>
      </w:r>
      <w:r>
        <w:t xml:space="preserve"> </w:t>
      </w:r>
      <w:r>
        <w:t xml:space="preserve">(like bullets) creates authoritative yet digestible content</w:t>
      </w:r>
    </w:p>
    <w:p>
      <w:pPr>
        <w:pStyle w:val="Compact"/>
        <w:numPr>
          <w:ilvl w:val="0"/>
          <w:numId w:val="1001"/>
        </w:numPr>
      </w:pPr>
      <w:r>
        <w:rPr>
          <w:b/>
          <w:bCs/>
        </w:rPr>
        <w:t xml:space="preserve">Creative tone + structured format</w:t>
      </w:r>
      <w:r>
        <w:t xml:space="preserve"> </w:t>
      </w:r>
      <w:r>
        <w:t xml:space="preserve">(like tables) produces inspiring yet usable artifacts</w:t>
      </w:r>
    </w:p>
    <w:p>
      <w:pPr>
        <w:pStyle w:val="Compact"/>
        <w:numPr>
          <w:ilvl w:val="0"/>
          <w:numId w:val="1001"/>
        </w:numPr>
      </w:pPr>
      <w:r>
        <w:rPr>
          <w:b/>
          <w:bCs/>
        </w:rPr>
        <w:t xml:space="preserve">Instructive tone + professional output</w:t>
      </w:r>
      <w:r>
        <w:t xml:space="preserve"> </w:t>
      </w:r>
      <w:r>
        <w:t xml:space="preserve">(like docs) generates documentation people actually follow</w:t>
      </w:r>
    </w:p>
    <w:p>
      <w:pPr>
        <w:pStyle w:val="FirstParagraph"/>
      </w:pPr>
      <w:r>
        <w:t xml:space="preserve">The key insight:</w:t>
      </w:r>
      <w:r>
        <w:t xml:space="preserve"> </w:t>
      </w:r>
      <w:r>
        <w:rPr>
          <w:b/>
          <w:bCs/>
        </w:rPr>
        <w:t xml:space="preserve">tone and format can compensate for each other</w:t>
      </w:r>
      <w:r>
        <w:t xml:space="preserve">. A rigid format can be softened by a casual tone. An informal tone can be grounded by a structured format. The best combinations leverage this interplay.</w:t>
      </w:r>
    </w:p>
    <w:p>
      <w:r>
        <w:pict>
          <v:rect style="width:0;height:1.5pt" o:hralign="center" o:hrstd="t" o:hr="t"/>
        </w:pict>
      </w:r>
    </w:p>
    <w:p>
      <w:pPr>
        <w:pStyle w:val="FirstParagraph"/>
      </w:pPr>
      <w:r>
        <w:rPr>
          <w:i/>
          <w:iCs/>
        </w:rPr>
        <w:t xml:space="preserve">Generated for the Intelligent Prompt Builder project</w:t>
      </w:r>
      <w:r>
        <w:t xml:space="preserve"> </w:t>
      </w:r>
      <w:r>
        <w:rPr>
          <w:i/>
          <w:iCs/>
        </w:rPr>
        <w:t xml:space="preserve">Last updated: November 2024</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2025-11-27T15:58:45Z</dcterms:created>
  <dcterms:modified xsi:type="dcterms:W3CDTF">2025-11-27T15:58:45Z</dcterms:modified>
</cp:coreProperties>
</file>

<file path=docProps/custom.xml><?xml version="1.0" encoding="utf-8"?>
<Properties xmlns="http://schemas.openxmlformats.org/officeDocument/2006/custom-properties" xmlns:vt="http://schemas.openxmlformats.org/officeDocument/2006/docPropsVTypes"/>
</file>