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480" w:lineRule="exact"/>
        <w:jc w:val="center"/>
      </w:pPr>
      <w:r>
        <w:rPr>
          <w:rFonts w:ascii="Times New Roman" w:hAnsi="Times New Roman"/>
          <w:b/>
          <w:i w:val="0"/>
          <w:sz w:val="28"/>
        </w:rPr>
        <w:t>Measuring VUCA in U.S. Agriculture: Decomposing Agricultural Producer Sentiment into Volatility, Uncertainty, Complexity, and Ambiguity</w:t>
      </w:r>
    </w:p>
    <w:p>
      <w:pPr>
        <w:spacing w:after="0" w:before="0" w:line="480" w:lineRule="exact"/>
        <w:jc w:val="center"/>
      </w:pPr>
      <w:r>
        <w:rPr>
          <w:rFonts w:ascii="Times New Roman" w:hAnsi="Times New Roman"/>
          <w:b w:val="0"/>
          <w:i w:val="0"/>
          <w:sz w:val="24"/>
        </w:rPr>
        <w:t>[Author names — blinded for review]</w:t>
      </w:r>
    </w:p>
    <w:p>
      <w:pPr>
        <w:spacing w:after="0" w:before="0" w:line="480" w:lineRule="exact"/>
        <w:jc w:val="center"/>
      </w:pPr>
      <w:r>
        <w:rPr>
          <w:rFonts w:ascii="Times New Roman" w:hAnsi="Times New Roman"/>
          <w:b w:val="0"/>
          <w:i w:val="0"/>
          <w:sz w:val="24"/>
        </w:rPr>
        <w:t>Purdue University</w:t>
      </w:r>
    </w:p>
    <w:p>
      <w:pPr>
        <w:spacing w:after="0" w:before="0" w:line="480" w:lineRule="exact"/>
        <w:jc w:val="center"/>
      </w:pPr>
    </w:p>
    <w:p>
      <w:pPr>
        <w:spacing w:after="0" w:before="0" w:line="480" w:lineRule="exact"/>
        <w:jc w:val="center"/>
      </w:pPr>
      <w:r>
        <w:rPr>
          <w:rFonts w:ascii="Times New Roman" w:hAnsi="Times New Roman"/>
          <w:b w:val="0"/>
          <w:i/>
          <w:sz w:val="22"/>
        </w:rPr>
        <w:t>Draft — March 2026. Do not cite without permission.</w:t>
      </w:r>
    </w:p>
    <w:p>
      <w:r>
        <w:br w:type="page"/>
      </w:r>
    </w:p>
    <w:p>
      <w:pPr>
        <w:spacing w:after="40" w:before="0" w:line="480" w:lineRule="exact"/>
        <w:jc w:val="left"/>
      </w:pPr>
      <w:r>
        <w:rPr>
          <w:rFonts w:ascii="Times New Roman" w:hAnsi="Times New Roman"/>
          <w:b/>
          <w:i w:val="0"/>
          <w:sz w:val="24"/>
        </w:rPr>
        <w:t>Abstract</w:t>
      </w:r>
    </w:p>
    <w:p>
      <w:pPr>
        <w:spacing w:after="120" w:before="0" w:line="480" w:lineRule="exact"/>
        <w:jc w:val="left"/>
      </w:pPr>
      <w:r>
        <w:rPr>
          <w:rFonts w:ascii="Times New Roman" w:hAnsi="Times New Roman"/>
          <w:b w:val="0"/>
          <w:i w:val="0"/>
          <w:sz w:val="24"/>
        </w:rPr>
        <w:t>We decompose agricultural producer sentiment into four dimensions — Volatility, Uncertainty, Complexity, and Ambiguity (VUCA) — using individual-level microdata from the Purdue University/CME Group Ag Economy Barometer (October 2015–December 2024). Dual measures for each dimension combine structured survey indices with open-ended text responses, standardized against a 2016–2019 baseline. Our Uncertainty measure correlates strongly with the composite AEB index (r = -0.758), while low cross-dimension correlations confirm conceptual distinctness. Granger causality tests show Volatility predicts farmland price changes at one-to-four-month lags and Ambiguity leads farm loan volume by two months, demonstrating that disaggregating sentiment provides information beyond a single composite index.</w:t>
      </w:r>
    </w:p>
    <w:p>
      <w:pPr>
        <w:spacing w:after="0" w:before="0" w:line="480" w:lineRule="exact"/>
        <w:jc w:val="left"/>
      </w:pPr>
      <w:r>
        <w:rPr>
          <w:rFonts w:ascii="Times New Roman" w:hAnsi="Times New Roman"/>
          <w:b w:val="0"/>
          <w:i/>
          <w:sz w:val="24"/>
        </w:rPr>
        <w:t>Keywords: agricultural sentiment, VUCA, uncertainty measurement, text analysis, Ag Economy Barometer, Granger causality</w:t>
      </w:r>
    </w:p>
    <w:p>
      <w:pPr>
        <w:spacing w:after="0" w:before="0" w:line="480" w:lineRule="exact"/>
        <w:jc w:val="left"/>
      </w:pPr>
      <w:r>
        <w:rPr>
          <w:rFonts w:ascii="Times New Roman" w:hAnsi="Times New Roman"/>
          <w:b w:val="0"/>
          <w:i/>
          <w:sz w:val="24"/>
        </w:rPr>
        <w:t>JEL codes: Q12, Q14, D81, C38</w:t>
      </w:r>
    </w:p>
    <w:p>
      <w:r>
        <w:br w:type="page"/>
      </w:r>
    </w:p>
    <w:p>
      <w:pPr>
        <w:spacing w:after="0" w:before="0" w:line="480" w:lineRule="exact"/>
        <w:jc w:val="left"/>
      </w:pPr>
      <w:r>
        <w:rPr>
          <w:rFonts w:ascii="Times New Roman" w:hAnsi="Times New Roman"/>
          <w:b w:val="0"/>
          <w:i w:val="0"/>
          <w:sz w:val="24"/>
        </w:rPr>
      </w:r>
      <w:r>
        <w:rPr>
          <w:rFonts w:ascii="Times New Roman" w:hAnsi="Times New Roman"/>
          <w:b/>
          <w:i w:val="0"/>
          <w:sz w:val="24"/>
        </w:rPr>
        <w:t>Target:</w:t>
      </w:r>
      <w:r>
        <w:rPr>
          <w:rFonts w:ascii="Times New Roman" w:hAnsi="Times New Roman"/>
          <w:b w:val="0"/>
          <w:i w:val="0"/>
          <w:sz w:val="24"/>
        </w:rPr>
        <w:t xml:space="preserve"> American Journal of Agricultural Economics (AJAE)</w:t>
      </w:r>
    </w:p>
    <w:p>
      <w:pPr>
        <w:spacing w:after="0" w:before="0" w:line="480" w:lineRule="exact"/>
        <w:jc w:val="left"/>
      </w:pPr>
      <w:r>
        <w:rPr>
          <w:rFonts w:ascii="Times New Roman" w:hAnsi="Times New Roman"/>
          <w:b w:val="0"/>
          <w:i w:val="0"/>
          <w:sz w:val="24"/>
        </w:rPr>
      </w:r>
      <w:r>
        <w:rPr>
          <w:rFonts w:ascii="Times New Roman" w:hAnsi="Times New Roman"/>
          <w:b/>
          <w:i w:val="0"/>
          <w:sz w:val="24"/>
        </w:rPr>
        <w:t>Status:</w:t>
      </w:r>
      <w:r>
        <w:rPr>
          <w:rFonts w:ascii="Times New Roman" w:hAnsi="Times New Roman"/>
          <w:b w:val="0"/>
          <w:i w:val="0"/>
          <w:sz w:val="24"/>
        </w:rPr>
        <w:t xml:space="preserve"> Draft v2 — 2026-03-13 (citations filled)</w:t>
      </w:r>
    </w:p>
    <w:p>
      <w:pPr>
        <w:spacing w:after="0" w:before="0" w:line="480" w:lineRule="exact"/>
        <w:jc w:val="left"/>
      </w:pPr>
      <w:r>
        <w:rPr>
          <w:rFonts w:ascii="Times New Roman" w:hAnsi="Times New Roman"/>
          <w:b w:val="0"/>
          <w:i w:val="0"/>
          <w:sz w:val="24"/>
        </w:rPr>
      </w:r>
      <w:r>
        <w:rPr>
          <w:rFonts w:ascii="Times New Roman" w:hAnsi="Times New Roman"/>
          <w:b/>
          <w:i w:val="0"/>
          <w:sz w:val="24"/>
        </w:rPr>
        <w:t>Note:</w:t>
      </w:r>
      <w:r>
        <w:rPr>
          <w:rFonts w:ascii="Times New Roman" w:hAnsi="Times New Roman"/>
          <w:b w:val="0"/>
          <w:i w:val="0"/>
          <w:sz w:val="24"/>
        </w:rPr>
        <w:t xml:space="preserve"> [CITE] = citation needed. [CHECK] = verify/expand before submission.</w:t>
      </w:r>
    </w:p>
    <w:p>
      <w:pPr>
        <w:spacing w:after="40" w:before="0" w:line="480" w:lineRule="exact"/>
        <w:jc w:val="left"/>
      </w:pPr>
      <w:r>
        <w:rPr>
          <w:rFonts w:ascii="Times New Roman" w:hAnsi="Times New Roman"/>
          <w:b/>
          <w:i w:val="0"/>
          <w:sz w:val="24"/>
        </w:rPr>
        <w:t>1. Introduction</w:t>
      </w:r>
    </w:p>
    <w:p>
      <w:pPr>
        <w:spacing w:after="0" w:before="0" w:line="480" w:lineRule="exact"/>
        <w:jc w:val="left"/>
      </w:pPr>
      <w:r>
        <w:rPr>
          <w:rFonts w:ascii="Times New Roman" w:hAnsi="Times New Roman"/>
          <w:b w:val="0"/>
          <w:i w:val="0"/>
          <w:sz w:val="24"/>
        </w:rPr>
        <w:t>Agricultural producers operate in environments characterized by rapid change, deep uncertainty, and the simultaneous interplay of forces that range from commodity market dynamics to climate variability and policy shifts. Despite a long tradition of measuring aggregate farm sentiment through diffusion indices — most notably the Purdue University/CME Group Ag Economy Barometer (AEB) — existing measures collapse the multidimensional nature of agricultural turbulence into a single composite score. This aggregation, while useful for tracking directional trends in farm confidence, obscures the distinct channels through which environmental complexity affects farm decision-making, investment behavior, and financial outcomes.</w:t>
      </w:r>
    </w:p>
    <w:p>
      <w:pPr>
        <w:spacing w:after="0" w:before="0" w:line="480" w:lineRule="exact"/>
        <w:jc w:val="left"/>
      </w:pPr>
      <w:r>
        <w:rPr>
          <w:rFonts w:ascii="Times New Roman" w:hAnsi="Times New Roman"/>
          <w:b w:val="0"/>
          <w:i w:val="0"/>
          <w:sz w:val="24"/>
        </w:rPr>
        <w:t>This paper proposes a framework for decomposing agricultural sentiment into four conceptually distinct dimensions drawn from the VUCA construct — Volatility, Uncertainty, Complexity, and Ambiguity — originally developed in military strategic planning (Bennis and Nanus, 1985) and subsequently applied to organizational management (Bennett and Lemoine, 2014). We operationalize each VUCA dimension using individual-level microdata from the AEB survey (October 2015 through December 2024), combining structured survey indices with open-ended text responses from approximately [CHECK: 47,668] individual farmer observations. To our knowledge, this is the first application of the VUCA framework to agricultural producer sentiment data.</w:t>
      </w:r>
    </w:p>
    <w:p>
      <w:pPr>
        <w:spacing w:after="0" w:before="0" w:line="480" w:lineRule="exact"/>
        <w:jc w:val="left"/>
      </w:pPr>
      <w:r>
        <w:rPr>
          <w:rFonts w:ascii="Times New Roman" w:hAnsi="Times New Roman"/>
          <w:b w:val="0"/>
          <w:i w:val="0"/>
          <w:sz w:val="24"/>
        </w:rPr>
        <w:t>Our approach makes three methodological contributions. First, we construct dual measures for each VUCA dimension — one quantitative, derived from the AEB's structured index questions, and one text-based, derived from farmers' open-ended responses — and combine them into standardized monthly scores. This dual-measure strategy leverages the complementary strengths of structured and unstructured data and allows us to assess the internal consistency of each dimension. Second, we develop an agricultural-domain adaptation of the Economic Policy Uncertainty (EPU) dictionary (Baker, Bloom, and Davis, 2016) that captures policy risk terms specific to the farm economy, including trade policy, input cost inflation, and weather-related uncertainty. Third, we apply Latent Dirichlet Allocation (Blei, Ng, and Jordan, 2003) to the full corpus of monthly text responses to construct a topic-based complexity measure that captures the dimensionality of the information environment facing farmers each month.</w:t>
      </w:r>
    </w:p>
    <w:p>
      <w:pPr>
        <w:spacing w:after="0" w:before="0" w:line="480" w:lineRule="exact"/>
        <w:jc w:val="left"/>
      </w:pPr>
      <w:r>
        <w:rPr>
          <w:rFonts w:ascii="Times New Roman" w:hAnsi="Times New Roman"/>
          <w:b w:val="0"/>
          <w:i w:val="0"/>
          <w:sz w:val="24"/>
        </w:rPr>
        <w:t>We validate our VUCA measures using three complementary approaches. Face validity assessments confirm that the Volatility dimension spikes around the 2019 U.S.–China trade war escalation and the 2020 COVID-19 pandemic onset, and that Complexity rises sharply during the 2021–2022 period of simultaneous commodity price surges and input cost inflation. Convergent validity is supported by a strong negative correlation between our Uncertainty measure and the AEB (Pearson r = -0.758), consistent with the theoretical expectation that forward-looking pessimism and aggregate farm confidence move in opposite directions. Granger causality tests against external agricultural economic indicators from the Creighton University Main Street Economy survey reveal that Volatility predicts farmland price changes at one to four month lags, and that Ambiguity leads farm loan volume by approximately two months — findings that demonstrate the predictive content of our VUCA measures for downstream agricultural financial outcomes.</w:t>
      </w:r>
    </w:p>
    <w:p>
      <w:pPr>
        <w:spacing w:after="0" w:before="0" w:line="480" w:lineRule="exact"/>
        <w:jc w:val="left"/>
      </w:pPr>
      <w:r>
        <w:rPr>
          <w:rFonts w:ascii="Times New Roman" w:hAnsi="Times New Roman"/>
          <w:b w:val="0"/>
          <w:i w:val="0"/>
          <w:sz w:val="24"/>
        </w:rPr>
        <w:t>Our results contribute to several literatures. For agricultural economists, we provide a richer characterization of the information environment facing farm operators and a set of monthly VUCA scores that can be used as regressors or conditioning variables in studies of farm investment, land markets, and credit demand. For the broader sentiment and uncertainty measurement literature, we demonstrate that the VUCA framework can be operationalized in a sectoral context using a combination of survey microdata and natural language processing methods. For practitioners and policymakers, our measures offer a more granular diagnostic tool for identifying not just whether farm sentiment is declining, but which dimension of turbulence is driving the deterioration — a distinction with direct implications for policy response.</w:t>
      </w:r>
    </w:p>
    <w:p>
      <w:pPr>
        <w:spacing w:after="0" w:before="0" w:line="480" w:lineRule="exact"/>
        <w:jc w:val="left"/>
      </w:pPr>
      <w:r>
        <w:rPr>
          <w:rFonts w:ascii="Times New Roman" w:hAnsi="Times New Roman"/>
          <w:b w:val="0"/>
          <w:i w:val="0"/>
          <w:sz w:val="24"/>
        </w:rPr>
        <w:t>The remainder of the paper is organized as follows. Section 2 reviews the relevant literature. Section 3 describes the data and methodology. Section 4 presents validation results. Section 5 discusses implications and limitations. Section 6 concludes.</w:t>
      </w:r>
    </w:p>
    <w:p/>
    <w:p>
      <w:pPr>
        <w:spacing w:after="0" w:before="0" w:line="480" w:lineRule="exact"/>
        <w:jc w:val="left"/>
      </w:pPr>
      <w:r>
        <w:rPr>
          <w:rFonts w:ascii="Times New Roman" w:hAnsi="Times New Roman"/>
          <w:b w:val="0"/>
          <w:i w:val="0"/>
          <w:sz w:val="24"/>
        </w:rPr>
      </w:r>
      <w:r>
        <w:rPr>
          <w:rFonts w:ascii="Times New Roman" w:hAnsi="Times New Roman"/>
          <w:b/>
          <w:i w:val="0"/>
          <w:sz w:val="24"/>
        </w:rPr>
        <w:t>Target:</w:t>
      </w:r>
      <w:r>
        <w:rPr>
          <w:rFonts w:ascii="Times New Roman" w:hAnsi="Times New Roman"/>
          <w:b w:val="0"/>
          <w:i w:val="0"/>
          <w:sz w:val="24"/>
        </w:rPr>
        <w:t xml:space="preserve"> American Journal of Agricultural Economics (AJAE)</w:t>
      </w:r>
    </w:p>
    <w:p>
      <w:pPr>
        <w:spacing w:after="0" w:before="0" w:line="480" w:lineRule="exact"/>
        <w:jc w:val="left"/>
      </w:pPr>
      <w:r>
        <w:rPr>
          <w:rFonts w:ascii="Times New Roman" w:hAnsi="Times New Roman"/>
          <w:b w:val="0"/>
          <w:i w:val="0"/>
          <w:sz w:val="24"/>
        </w:rPr>
      </w:r>
      <w:r>
        <w:rPr>
          <w:rFonts w:ascii="Times New Roman" w:hAnsi="Times New Roman"/>
          <w:b/>
          <w:i w:val="0"/>
          <w:sz w:val="24"/>
        </w:rPr>
        <w:t>Status:</w:t>
      </w:r>
      <w:r>
        <w:rPr>
          <w:rFonts w:ascii="Times New Roman" w:hAnsi="Times New Roman"/>
          <w:b w:val="0"/>
          <w:i w:val="0"/>
          <w:sz w:val="24"/>
        </w:rPr>
        <w:t xml:space="preserve"> Draft v2 — 2026-03-13 (updated with VUCA Lit Review.docx sources)</w:t>
      </w:r>
    </w:p>
    <w:p>
      <w:pPr>
        <w:spacing w:after="0" w:before="0" w:line="480" w:lineRule="exact"/>
        <w:jc w:val="left"/>
      </w:pPr>
      <w:r>
        <w:rPr>
          <w:rFonts w:ascii="Times New Roman" w:hAnsi="Times New Roman"/>
          <w:b w:val="0"/>
          <w:i w:val="0"/>
          <w:sz w:val="24"/>
        </w:rPr>
      </w:r>
      <w:r>
        <w:rPr>
          <w:rFonts w:ascii="Times New Roman" w:hAnsi="Times New Roman"/>
          <w:b/>
          <w:i w:val="0"/>
          <w:sz w:val="24"/>
        </w:rPr>
        <w:t>Note:</w:t>
      </w:r>
      <w:r>
        <w:rPr>
          <w:rFonts w:ascii="Times New Roman" w:hAnsi="Times New Roman"/>
          <w:b w:val="0"/>
          <w:i w:val="0"/>
          <w:sz w:val="24"/>
        </w:rPr>
        <w:t xml:space="preserve"> [CHECK] = verify/fill before submission. All [CITE] resolved.</w:t>
      </w:r>
    </w:p>
    <w:p>
      <w:pPr>
        <w:spacing w:after="40" w:before="0" w:line="480" w:lineRule="exact"/>
        <w:jc w:val="left"/>
      </w:pPr>
      <w:r>
        <w:rPr>
          <w:rFonts w:ascii="Times New Roman" w:hAnsi="Times New Roman"/>
          <w:b/>
          <w:i w:val="0"/>
          <w:sz w:val="24"/>
        </w:rPr>
        <w:t>2. Background and Related Literature</w:t>
      </w:r>
    </w:p>
    <w:p>
      <w:pPr>
        <w:spacing w:after="0" w:before="0" w:line="480" w:lineRule="exact"/>
        <w:jc w:val="left"/>
      </w:pPr>
      <w:r>
        <w:rPr>
          <w:rFonts w:ascii="Times New Roman" w:hAnsi="Times New Roman"/>
          <w:b w:val="0"/>
          <w:i w:val="0"/>
          <w:sz w:val="24"/>
        </w:rPr>
        <w:t>This paper sits at the intersection of four bodies of literature: the VUCA framework in organizational and strategy research; agricultural sentiment measurement and the AEB; economic uncertainty measurement; and the use of natural language processing (NLP) in agricultural economics. We review each in turn before positioning our contribution.</w:t>
      </w:r>
    </w:p>
    <w:p>
      <w:pPr>
        <w:spacing w:after="40" w:before="0" w:line="480" w:lineRule="exact"/>
        <w:jc w:val="left"/>
      </w:pPr>
      <w:r>
        <w:rPr>
          <w:rFonts w:ascii="Times New Roman" w:hAnsi="Times New Roman"/>
          <w:b/>
          <w:i/>
          <w:sz w:val="24"/>
        </w:rPr>
        <w:t>2.1 The VUCA Framework</w:t>
      </w:r>
    </w:p>
    <w:p>
      <w:pPr>
        <w:spacing w:after="0" w:before="0" w:line="480" w:lineRule="exact"/>
        <w:jc w:val="left"/>
      </w:pPr>
      <w:r>
        <w:rPr>
          <w:rFonts w:ascii="Times New Roman" w:hAnsi="Times New Roman"/>
          <w:b w:val="0"/>
          <w:i w:val="0"/>
          <w:sz w:val="24"/>
        </w:rPr>
        <w:t>The VUCA acronym — Volatility, Uncertainty, Complexity, Ambiguity — originated in U.S. Army War College doctrine in the late 1980s to characterize the post-Cold War strategic environment and subsequently entered the management literature through leadership research (Bennis and Nanus, 1985). The seminal academic treatment of the four dimensions is Bennett and Lemoine (2014), who distinguish the components as conceptually distinct challenges requiring different organizational responses: Volatility involves unstable but understandable change; Uncertainty involves knowledge gaps about events whose significance is unclear; Complexity involves interconnected forces and information overload; and Ambiguity involves unknown cause-and-effect relationships with no historical precedent. A critical implication of this taxonomy — and a finding replicated empirically by Fridgeirsson, Kristjansdottir, and Ingason (2021) — is that treating the four dimensions as interchangeable or aggregating them into a composite score leads to resource misallocation, because each dimension requires a qualitatively different response. Our paper is the first to formalize this argument in the agricultural economics context: we show that the dimensions are empirically separable and that disaggregating them yields predictive content that the composite AEB index alone does not.</w:t>
      </w:r>
    </w:p>
    <w:p>
      <w:pPr>
        <w:spacing w:after="0" w:before="0" w:line="480" w:lineRule="exact"/>
        <w:jc w:val="left"/>
      </w:pPr>
      <w:r>
        <w:rPr>
          <w:rFonts w:ascii="Times New Roman" w:hAnsi="Times New Roman"/>
          <w:b w:val="0"/>
          <w:i w:val="0"/>
          <w:sz w:val="24"/>
        </w:rPr>
        <w:t>Recent work has extended the VUCA framework in two directions relevant to our paper. First, Fridgeirsson et al. (2021) develop a "VUCA meter" — a questionnaire-based diagnostic instrument that assigns numerical severity scores to each dimension for complex projects — and demonstrate, in a small-sample study of manufacturing projects, that subjects find the aggregate VUCA score unhelpful and that each dimension requires an individualized response. Their finding that "Uncertainty appears to be a cascading factor in other dimensions" motivates our discriminant validity assessment and our expectation that U–A and U–C correlations will be positive but moderate. Second, [CHECK: fill citation] develop a validated psychometric "Perceived VUCA Exposure" scale using a four-factor confirmatory structure, finding a VU cluster (today's realities) and a CA cluster (tomorrow's potential) — a pattern broadly consistent with the low-but-nonzero cross-dimension correlations we document. Rzepczynski (2025) applies the VUCA framework to investment management, defining the dimensions in financial terms analogous to ours: Volatility as measurable distributional risk, Uncertainty as Knightian non-countable risk, Complexity as model misspecification, and Ambiguity as competing theories with unstable causal inferences.</w:t>
      </w:r>
    </w:p>
    <w:p>
      <w:pPr>
        <w:spacing w:after="0" w:before="0" w:line="480" w:lineRule="exact"/>
        <w:jc w:val="left"/>
      </w:pPr>
      <w:r>
        <w:rPr>
          <w:rFonts w:ascii="Times New Roman" w:hAnsi="Times New Roman"/>
          <w:b w:val="0"/>
          <w:i w:val="0"/>
          <w:sz w:val="24"/>
        </w:rPr>
        <w:t>A complementary conceptual contribution is provided by [CHECK: fill citation — "Clarifying the conceptual map of VUCA: a systematic review"], which conducts a systematic review of VUCA definitions and documents substantial conceptual overlap across the four terms in the management literature: uncertainty appeared in definitions of volatility; complexity appeared as a cause of uncertainty; ambiguity was frequently associated with uncertainty. This overlap at the conceptual level reinforces the value of our empirical discriminant validity tests, which confirm the dimensions are distinct despite conceptual adjacency.</w:t>
      </w:r>
    </w:p>
    <w:p>
      <w:pPr>
        <w:spacing w:after="40" w:before="0" w:line="480" w:lineRule="exact"/>
        <w:jc w:val="left"/>
      </w:pPr>
      <w:r>
        <w:rPr>
          <w:rFonts w:ascii="Times New Roman" w:hAnsi="Times New Roman"/>
          <w:b/>
          <w:i/>
          <w:sz w:val="24"/>
        </w:rPr>
        <w:t>2.2 Agricultural Sentiment Measurement</w:t>
      </w:r>
    </w:p>
    <w:p>
      <w:pPr>
        <w:spacing w:after="0" w:before="0" w:line="480" w:lineRule="exact"/>
        <w:jc w:val="left"/>
      </w:pPr>
      <w:r>
        <w:rPr>
          <w:rFonts w:ascii="Times New Roman" w:hAnsi="Times New Roman"/>
          <w:b w:val="0"/>
          <w:i w:val="0"/>
          <w:sz w:val="24"/>
        </w:rPr>
        <w:t>The most widely used measure of U.S. agricultural producer sentiment is the Purdue University/CME Group Ag Economy Barometer (AEB), introduced in October 2015 (Mintert and Widmar, 2016). The AEB follows the diffusion index methodology of the University of Michigan Index of Consumer Sentiment (Curtin, 2007), with a monthly sample of approximately 400 farm operators. The AEB decomposes into two sub-indices: the Index of Current Conditions (ICC) and the Index of Future Expectations (IFE). Monthly AEB reports have been used as leading indicators for farm machinery sales, farm credit demand, and farmland market activity.</w:t>
      </w:r>
    </w:p>
    <w:p>
      <w:pPr>
        <w:spacing w:after="0" w:before="0" w:line="480" w:lineRule="exact"/>
        <w:jc w:val="left"/>
      </w:pPr>
      <w:r>
        <w:rPr>
          <w:rFonts w:ascii="Times New Roman" w:hAnsi="Times New Roman"/>
          <w:b w:val="0"/>
          <w:i w:val="0"/>
          <w:sz w:val="24"/>
        </w:rPr>
        <w:t>The paper most directly related to ours in the AEB literature is Lippsmeyer, Langemeier, Mintert, and Thompson (2024), who examine the drivers of cross-sectional heterogeneity in producer sentiment. They find that statistically significant correlates of high sentiment include farm operator experience, educational attainment, balance sheet strength, and low fixed costs, and document that high-sentiment producers are more concerned with human capital and marketing risk while low-sentiment producers are more focused on financial risk. Our paper complements Lippsmeyer et al. (2024) by analyzing the time-series structure of sentiment rather than its cross-sectional correlates, and by decomposing aggregate sentiment into the four VUCA dimensions rather than a single composite. Their finding that different risk types matter differently for different producers provides micro-level support for the theoretical argument that a single aggregate index conflates qualitatively distinct sources of farm-level turbulence.</w:t>
      </w:r>
    </w:p>
    <w:p>
      <w:pPr>
        <w:spacing w:after="0" w:before="0" w:line="480" w:lineRule="exact"/>
        <w:jc w:val="left"/>
      </w:pPr>
      <w:r>
        <w:rPr>
          <w:rFonts w:ascii="Times New Roman" w:hAnsi="Times New Roman"/>
          <w:b w:val="0"/>
          <w:i w:val="0"/>
          <w:sz w:val="24"/>
        </w:rPr>
        <w:t>A related literature examines farmer expectations more broadly, using panel surveys to study expectation formation and the role of past experience in shaping beliefs about future prices and policy. These papers confirm that farm operators hold heterogeneous beliefs — a fact that motivates our use of individual-level AEB microdata rather than the published aggregate, and that underlies our Ambiguity measure's reliance on the distributional shape of individual responses.</w:t>
      </w:r>
    </w:p>
    <w:p>
      <w:pPr>
        <w:spacing w:after="40" w:before="0" w:line="480" w:lineRule="exact"/>
        <w:jc w:val="left"/>
      </w:pPr>
      <w:r>
        <w:rPr>
          <w:rFonts w:ascii="Times New Roman" w:hAnsi="Times New Roman"/>
          <w:b/>
          <w:i/>
          <w:sz w:val="24"/>
        </w:rPr>
        <w:t>2.3 Uncertainty Measurement in Economics</w:t>
      </w:r>
    </w:p>
    <w:p>
      <w:pPr>
        <w:spacing w:after="0" w:before="0" w:line="480" w:lineRule="exact"/>
        <w:jc w:val="left"/>
      </w:pPr>
      <w:r>
        <w:rPr>
          <w:rFonts w:ascii="Times New Roman" w:hAnsi="Times New Roman"/>
          <w:b w:val="0"/>
          <w:i w:val="0"/>
          <w:sz w:val="24"/>
        </w:rPr>
        <w:t>The quantitative measurement of economic uncertainty has been an active research area since Baker, Bloom, and Davis (2016) constructed the Economic Policy Uncertainty (EPU) index from newspaper text frequency, tax code expiration provisions, and forecaster disagreement. The EPU methodology has inspired a growing number of sector-specific uncertainty indices and has been applied to study investment, hiring, and monetary policy transmission across a wide range of contexts.</w:t>
      </w:r>
    </w:p>
    <w:p>
      <w:pPr>
        <w:spacing w:after="0" w:before="0" w:line="480" w:lineRule="exact"/>
        <w:jc w:val="left"/>
      </w:pPr>
      <w:r>
        <w:rPr>
          <w:rFonts w:ascii="Times New Roman" w:hAnsi="Times New Roman"/>
          <w:b w:val="0"/>
          <w:i w:val="0"/>
          <w:sz w:val="24"/>
        </w:rPr>
        <w:t>An important empirical result for our paper's motivation comes from Nowzohour and Stracca (2020), who survey the literature on economic sentiment (confidence and uncertainty) and macroeconomic fluctuations and find that "confidence and uncertainty are unrelated" — different sentiment measures within the same country are weakly correlated, and different proxies for the same underlying concept capture substantially different variation. The implication is direct: a composite sentiment index like the AEB conflates at least two distinct constructs (confidence and uncertainty), and using it as a single measure of the agricultural information environment discards information that is relevant to downstream outcomes. Our paper formalizes this intuition within the VUCA taxonomy and demonstrates empirically that the four dimensions of our decomposition carry non-redundant predictive content.</w:t>
      </w:r>
    </w:p>
    <w:p>
      <w:pPr>
        <w:spacing w:after="0" w:before="0" w:line="480" w:lineRule="exact"/>
        <w:jc w:val="left"/>
      </w:pPr>
      <w:r>
        <w:rPr>
          <w:rFonts w:ascii="Times New Roman" w:hAnsi="Times New Roman"/>
          <w:b w:val="0"/>
          <w:i w:val="0"/>
          <w:sz w:val="24"/>
        </w:rPr>
        <w:t>In the agricultural sector, Adjemian et al. [CHECK: fill citation] construct measures of agricultural policy uncertainty using USDA report surprise events; Karali et al. [CHECK: fill citation] examine the role of uncertainty in commodity futures price dynamics. Our Uncertainty dimension builds on the EPU framework by adapting the dictionary-based text measurement approach to the agricultural open-ended survey context, supplemented by a structured measure derived from the IFE sub-index, and supplemented by Leduc and Liu's (2016) finding that inverted expectations indices serve as valid uncertainty proxies in macroeconomic settings.</w:t>
      </w:r>
    </w:p>
    <w:p>
      <w:pPr>
        <w:spacing w:after="0" w:before="0" w:line="480" w:lineRule="exact"/>
        <w:jc w:val="left"/>
      </w:pPr>
      <w:r>
        <w:rPr>
          <w:rFonts w:ascii="Times New Roman" w:hAnsi="Times New Roman"/>
          <w:b w:val="0"/>
          <w:i w:val="0"/>
          <w:sz w:val="24"/>
        </w:rPr>
        <w:t>The broader uncertainty literature distinguishes risk (quantifiable probabilities) from Knightian uncertainty (Knight, 1921) and Ellsberg-style ambiguity (Ellsberg, 1961). This distinction maps directly onto the VUCA taxonomy: our Uncertainty dimension captures Knight-style opacity about future outcomes, while our Ambiguity dimension captures situations in which farmers cannot form a stable probability assessment. Rzepczynski (2025) formalizes a parallel distinction for investment management contexts. To our knowledge, our paper is the first to operationalize both constructs simultaneously in an agricultural survey.</w:t>
      </w:r>
    </w:p>
    <w:p>
      <w:pPr>
        <w:spacing w:after="40" w:before="0" w:line="480" w:lineRule="exact"/>
        <w:jc w:val="left"/>
      </w:pPr>
      <w:r>
        <w:rPr>
          <w:rFonts w:ascii="Times New Roman" w:hAnsi="Times New Roman"/>
          <w:b/>
          <w:i/>
          <w:sz w:val="24"/>
        </w:rPr>
        <w:t>2.4 Sentiment and Uncertainty in Investment Decisions</w:t>
      </w:r>
    </w:p>
    <w:p>
      <w:pPr>
        <w:spacing w:after="0" w:before="0" w:line="480" w:lineRule="exact"/>
        <w:jc w:val="left"/>
      </w:pPr>
      <w:r>
        <w:rPr>
          <w:rFonts w:ascii="Times New Roman" w:hAnsi="Times New Roman"/>
          <w:b w:val="0"/>
          <w:i w:val="0"/>
          <w:sz w:val="24"/>
        </w:rPr>
        <w:t>The role of sentiment and uncertainty in shaping producer investment decisions is directly relevant to interpreting our Granger causality results. Birru and Young (2023) find that investor sentiment has a modest positive relationship with corporate investment, but that this relationship is substantially amplified when interacted with a market volatility measure — consistent with our finding that the Volatility dimension of farm sentiment contains leading information for farmland prices. Their result that high-volatility firms show the strongest sentiment–investment link (doubling the baseline coefficient) motivates our hypothesis that Volatility is particularly relevant for farmland markets, which share the characteristic of being difficult to value precisely.</w:t>
      </w:r>
    </w:p>
    <w:p>
      <w:pPr>
        <w:spacing w:after="0" w:before="0" w:line="480" w:lineRule="exact"/>
        <w:jc w:val="left"/>
      </w:pPr>
      <w:r>
        <w:rPr>
          <w:rFonts w:ascii="Times New Roman" w:hAnsi="Times New Roman"/>
          <w:b w:val="0"/>
          <w:i w:val="0"/>
          <w:sz w:val="24"/>
        </w:rPr>
        <w:t>The real options literature (Dixit and Pindyck, 1994) establishes that irreversible investments — including farmland purchases and major capital expenditures — are optimally delayed when uncertainty is high, as the option value of waiting increases with the volatility of the underlying state variable. This framework predicts that our Ambiguity measure — which captures the degree of contradictory signaling in farmer responses — should lead farm loan volume (a measure of productive investment) with a positive lag, consistent with our empirical finding. Baran and Woznyj (2020) extend this argument to organizational behavior, finding that communication and adaptation strategies can mitigate the performance costs of VUCA environments — a finding that suggests our VUCA measures could serve as inputs to farm advisory and extension programming.</w:t>
      </w:r>
    </w:p>
    <w:p>
      <w:pPr>
        <w:spacing w:after="0" w:before="0" w:line="480" w:lineRule="exact"/>
        <w:jc w:val="left"/>
      </w:pPr>
      <w:r>
        <w:rPr>
          <w:rFonts w:ascii="Times New Roman" w:hAnsi="Times New Roman"/>
          <w:b w:val="0"/>
          <w:i w:val="0"/>
          <w:sz w:val="24"/>
        </w:rPr>
        <w:t>For farmland markets specifically, Featherstone and Baker (1987) establish that farmland values capitalize expected future cash rents, with interest rates and inflation playing important secondary roles. Moss and Katchova (2005) and related work extend this framework to incorporate risk premia and expectation heterogeneity. Our finding that Volatility Granger-causes farmland prices at one to four month lags is consistent with a model in which rapidly changing sentiment contains information about the risk premium required by land market participants, analogous to the role of implied volatility in financial asset pricing.</w:t>
      </w:r>
    </w:p>
    <w:p>
      <w:pPr>
        <w:spacing w:after="40" w:before="0" w:line="480" w:lineRule="exact"/>
        <w:jc w:val="left"/>
      </w:pPr>
      <w:r>
        <w:rPr>
          <w:rFonts w:ascii="Times New Roman" w:hAnsi="Times New Roman"/>
          <w:b/>
          <w:i/>
          <w:sz w:val="24"/>
        </w:rPr>
        <w:t>2.5 Natural Language Processing in Agricultural Economics</w:t>
      </w:r>
    </w:p>
    <w:p>
      <w:pPr>
        <w:spacing w:after="0" w:before="0" w:line="480" w:lineRule="exact"/>
        <w:jc w:val="left"/>
      </w:pPr>
      <w:r>
        <w:rPr>
          <w:rFonts w:ascii="Times New Roman" w:hAnsi="Times New Roman"/>
          <w:b w:val="0"/>
          <w:i w:val="0"/>
          <w:sz w:val="24"/>
        </w:rPr>
        <w:t>The use of NLP methods in agricultural and food economics has grown substantially in the past decade. Hendricks et al. [CHECK] use topic modeling to identify themes in agricultural news coverage; Lusk [CHECK] applies sentiment analysis to consumer food preference data. In the broader applied economics literature, Gentzkow, Kelly, and Taddy (2019) provide a comprehensive survey of text-as-data methods relevant to economists.</w:t>
      </w:r>
    </w:p>
    <w:p>
      <w:pPr>
        <w:spacing w:after="0" w:before="0" w:line="480" w:lineRule="exact"/>
        <w:jc w:val="left"/>
      </w:pPr>
      <w:r>
        <w:rPr>
          <w:rFonts w:ascii="Times New Roman" w:hAnsi="Times New Roman"/>
          <w:b w:val="0"/>
          <w:i w:val="0"/>
          <w:sz w:val="24"/>
        </w:rPr>
        <w:t>The most closely related NLP application to ours is the use of open-ended survey responses to supplement structured questionnaire data. Whereas standard survey analysis discards or separately codes free-text fields, we treat these responses as a parallel data stream reflecting the same underlying latent state as the structured responses but through a different measurement channel. This dual-measure strategy is analogous to the mixed-methods approach operationalized in the financial text sentiment literature by Loughran and McDonald (2011). Patnaik (2020) surveys 51 applied machine learning papers organized under the four VUCA dimensions and notes that the computational approaches to each dimension differ substantially — supporting our decision to use qualitatively distinct methods for each of our text-based measures (Jaccard distance for Volatility; dictionary hit rate for Uncertainty; LDA entropy for Complexity; polarity conflict for Ambiguity) rather than a single NLP technique applied uniformly.</w:t>
      </w:r>
    </w:p>
    <w:p>
      <w:pPr>
        <w:spacing w:after="0" w:before="0" w:line="480" w:lineRule="exact"/>
        <w:jc w:val="left"/>
      </w:pPr>
      <w:r>
        <w:rPr>
          <w:rFonts w:ascii="Times New Roman" w:hAnsi="Times New Roman"/>
          <w:b w:val="0"/>
          <w:i w:val="0"/>
          <w:sz w:val="24"/>
        </w:rPr>
        <w:t>Our use of Latent Dirichlet Allocation (LDA; Blei, Ng, and Jordan, 2003) to construct the Complexity dimension follows a substantial body of work applying topic modeling to economic and social science text. Our approach of measuring the dimensionality of the topic space via rolling PCA on monthly topic share vectors is novel and provides a tractable monthly time series that captures the degree to which farmers' information environment is multidimensional.</w:t>
      </w:r>
    </w:p>
    <w:p>
      <w:pPr>
        <w:spacing w:after="40" w:before="0" w:line="480" w:lineRule="exact"/>
        <w:jc w:val="left"/>
      </w:pPr>
      <w:r>
        <w:rPr>
          <w:rFonts w:ascii="Times New Roman" w:hAnsi="Times New Roman"/>
          <w:b/>
          <w:i/>
          <w:sz w:val="24"/>
        </w:rPr>
        <w:t>2.6 Positioning Our Contribution</w:t>
      </w:r>
    </w:p>
    <w:p>
      <w:pPr>
        <w:spacing w:after="0" w:before="0" w:line="480" w:lineRule="exact"/>
        <w:jc w:val="left"/>
      </w:pPr>
      <w:r>
        <w:rPr>
          <w:rFonts w:ascii="Times New Roman" w:hAnsi="Times New Roman"/>
          <w:b w:val="0"/>
          <w:i w:val="0"/>
          <w:sz w:val="24"/>
        </w:rPr>
        <w:t>Our paper makes three distinct contributions relative to the literatures reviewed above. First, we are the first to operationalize the VUCA framework in an agricultural context using individual-level survey microdata, providing a richer characterization of environmental turbulence than either the composite AEB or existing agricultural uncertainty indices. The closest methodological predecessor — Fridgeirsson et al.'s (2021) VUCA meter — relies on expert questionnaires applied to a small sample of complex projects; our approach scales to a large, representative monthly panel and produces time-series measures suitable for econometric analysis.</w:t>
      </w:r>
    </w:p>
    <w:p>
      <w:pPr>
        <w:spacing w:after="0" w:before="0" w:line="480" w:lineRule="exact"/>
        <w:jc w:val="left"/>
      </w:pPr>
      <w:r>
        <w:rPr>
          <w:rFonts w:ascii="Times New Roman" w:hAnsi="Times New Roman"/>
          <w:b w:val="0"/>
          <w:i w:val="0"/>
          <w:sz w:val="24"/>
        </w:rPr>
        <w:t>Second, we demonstrate that the four VUCA dimensions are empirically separable in a setting where conceptual overlap is substantial. This complements the conceptual work of Bennett and Lemoine (2014) and the systematic review of [CHECK: "Clarifying the conceptual map of VUCA"] by providing quantitative evidence that the four dimensions capture distinct variation — a finding that the perceived VUCA exposure scale literature ([CHECK]) and Nowzohour and Stracca (2020) predict but do not establish in an agricultural context.</w:t>
      </w:r>
    </w:p>
    <w:p>
      <w:pPr>
        <w:spacing w:after="0" w:before="0" w:line="480" w:lineRule="exact"/>
        <w:jc w:val="left"/>
      </w:pPr>
      <w:r>
        <w:rPr>
          <w:rFonts w:ascii="Times New Roman" w:hAnsi="Times New Roman"/>
          <w:b w:val="0"/>
          <w:i w:val="0"/>
          <w:sz w:val="24"/>
        </w:rPr>
        <w:t>Third, we establish that disaggregating sentiment into VUCA dimensions generates economically meaningful predictive content: Volatility leads farmland price changes and Ambiguity leads farm credit demand at horizons relevant for policy analysis. These findings connect the VUCA measurement literature to the real options literature on investment under uncertainty and to the farmland valuation literature, and complement Lippsmeyer et al.'s (2024) cross-sectional evidence on the drivers of producer sentiment with time-series evidence on the consequences of specific types of turbulence.</w:t>
      </w:r>
    </w:p>
    <w:p/>
    <w:p>
      <w:pPr>
        <w:spacing w:after="0" w:before="0" w:line="480" w:lineRule="exact"/>
        <w:jc w:val="left"/>
      </w:pPr>
      <w:r>
        <w:rPr>
          <w:rFonts w:ascii="Times New Roman" w:hAnsi="Times New Roman"/>
          <w:b w:val="0"/>
          <w:i w:val="0"/>
          <w:sz w:val="24"/>
        </w:rPr>
      </w:r>
      <w:r>
        <w:rPr>
          <w:rFonts w:ascii="Times New Roman" w:hAnsi="Times New Roman"/>
          <w:b/>
          <w:i w:val="0"/>
          <w:sz w:val="24"/>
        </w:rPr>
        <w:t>Target:</w:t>
      </w:r>
      <w:r>
        <w:rPr>
          <w:rFonts w:ascii="Times New Roman" w:hAnsi="Times New Roman"/>
          <w:b w:val="0"/>
          <w:i w:val="0"/>
          <w:sz w:val="24"/>
        </w:rPr>
        <w:t xml:space="preserve"> American Journal of Agricultural Economics (AJAE)</w:t>
      </w:r>
    </w:p>
    <w:p>
      <w:pPr>
        <w:spacing w:after="0" w:before="0" w:line="480" w:lineRule="exact"/>
        <w:jc w:val="left"/>
      </w:pPr>
      <w:r>
        <w:rPr>
          <w:rFonts w:ascii="Times New Roman" w:hAnsi="Times New Roman"/>
          <w:b w:val="0"/>
          <w:i w:val="0"/>
          <w:sz w:val="24"/>
        </w:rPr>
      </w:r>
      <w:r>
        <w:rPr>
          <w:rFonts w:ascii="Times New Roman" w:hAnsi="Times New Roman"/>
          <w:b/>
          <w:i w:val="0"/>
          <w:sz w:val="24"/>
        </w:rPr>
        <w:t>Status:</w:t>
      </w:r>
      <w:r>
        <w:rPr>
          <w:rFonts w:ascii="Times New Roman" w:hAnsi="Times New Roman"/>
          <w:b w:val="0"/>
          <w:i w:val="0"/>
          <w:sz w:val="24"/>
        </w:rPr>
        <w:t xml:space="preserve"> Draft v2 — 2026-03-13 (citations filled)</w:t>
      </w:r>
    </w:p>
    <w:p>
      <w:pPr>
        <w:spacing w:after="0" w:before="0" w:line="480" w:lineRule="exact"/>
        <w:jc w:val="left"/>
      </w:pPr>
      <w:r>
        <w:rPr>
          <w:rFonts w:ascii="Times New Roman" w:hAnsi="Times New Roman"/>
          <w:b w:val="0"/>
          <w:i w:val="0"/>
          <w:sz w:val="24"/>
        </w:rPr>
      </w:r>
      <w:r>
        <w:rPr>
          <w:rFonts w:ascii="Times New Roman" w:hAnsi="Times New Roman"/>
          <w:b/>
          <w:i w:val="0"/>
          <w:sz w:val="24"/>
        </w:rPr>
        <w:t>Note:</w:t>
      </w:r>
      <w:r>
        <w:rPr>
          <w:rFonts w:ascii="Times New Roman" w:hAnsi="Times New Roman"/>
          <w:b w:val="0"/>
          <w:i w:val="0"/>
          <w:sz w:val="24"/>
        </w:rPr>
        <w:t xml:space="preserve"> [CHECK] tags mark facts to verify against paper data.</w:t>
      </w:r>
    </w:p>
    <w:p>
      <w:pPr>
        <w:spacing w:after="40" w:before="0" w:line="480" w:lineRule="exact"/>
        <w:jc w:val="left"/>
      </w:pPr>
      <w:r>
        <w:rPr>
          <w:rFonts w:ascii="Times New Roman" w:hAnsi="Times New Roman"/>
          <w:b/>
          <w:i w:val="0"/>
          <w:sz w:val="24"/>
        </w:rPr>
        <w:t>3. Data and Methods</w:t>
      </w:r>
    </w:p>
    <w:p>
      <w:pPr>
        <w:spacing w:after="40" w:before="0" w:line="480" w:lineRule="exact"/>
        <w:jc w:val="left"/>
      </w:pPr>
      <w:r>
        <w:rPr>
          <w:rFonts w:ascii="Times New Roman" w:hAnsi="Times New Roman"/>
          <w:b/>
          <w:i/>
          <w:sz w:val="24"/>
        </w:rPr>
        <w:t>3.1 Data</w:t>
      </w:r>
    </w:p>
    <w:p>
      <w:pPr>
        <w:spacing w:after="40" w:before="0" w:line="480" w:lineRule="exact"/>
        <w:jc w:val="left"/>
      </w:pPr>
      <w:r>
        <w:rPr>
          <w:rFonts w:ascii="Times New Roman" w:hAnsi="Times New Roman"/>
          <w:b w:val="0"/>
          <w:i/>
          <w:sz w:val="24"/>
        </w:rPr>
        <w:t>3.1.1 Ag Economy Barometer Survey</w:t>
      </w:r>
    </w:p>
    <w:p>
      <w:pPr>
        <w:spacing w:after="0" w:before="0" w:line="480" w:lineRule="exact"/>
        <w:jc w:val="left"/>
      </w:pPr>
      <w:r>
        <w:rPr>
          <w:rFonts w:ascii="Times New Roman" w:hAnsi="Times New Roman"/>
          <w:b w:val="0"/>
          <w:i w:val="0"/>
          <w:sz w:val="24"/>
        </w:rPr>
        <w:t>We use individual-level microdata from the Purdue University/CME Group Ag Economy Barometer (AEB), a monthly survey of U.S. agricultural producers conducted since October 2015 (Mintert and Widmar, 2016). The survey samples approximately 400 farmers and farm operators each month, with respondents drawn from a national panel of agricultural producers with annual gross sales of at least $500,000. The survey is designed to capture sentiment about current and future farm business conditions and is fielded during the first two weeks of each month.</w:t>
      </w:r>
    </w:p>
    <w:p>
      <w:pPr>
        <w:spacing w:after="0" w:before="0" w:line="480" w:lineRule="exact"/>
        <w:jc w:val="left"/>
      </w:pPr>
      <w:r>
        <w:rPr>
          <w:rFonts w:ascii="Times New Roman" w:hAnsi="Times New Roman"/>
          <w:b w:val="0"/>
          <w:i w:val="0"/>
          <w:sz w:val="24"/>
        </w:rPr>
        <w:t>Our analytical sample spans [CHECK: October 2015 through December 2024], comprising [CHECK: 123] monthly waves and [CHECK: 49,340] individual survey responses. The core outcome measures are the AEB index, the Index of Current Conditions (ICC), and the Index of Future Expectations (IFE). Each index is constructed from a subset of five survey questions using a diffusion index methodology analogous to the University of Michigan's Index of Consumer Sentiment (Curtin, 2007). The AEB is a composite of the ICC and IFE, with the IFE receiving greater weight to reflect the forward-looking orientation of the barometer.</w:t>
      </w:r>
    </w:p>
    <w:p>
      <w:pPr>
        <w:spacing w:after="0" w:before="0" w:line="480" w:lineRule="exact"/>
        <w:jc w:val="left"/>
      </w:pPr>
      <w:r>
        <w:rPr>
          <w:rFonts w:ascii="Times New Roman" w:hAnsi="Times New Roman"/>
          <w:b w:val="0"/>
          <w:i w:val="0"/>
          <w:sz w:val="24"/>
        </w:rPr>
        <w:t>In addition to the structured survey questions, a subset of respondents provide open-ended text responses to a prompt asking them to describe current conditions affecting their farm operation. These responses are archived as monthly word cloud files and constitute the text-based component of our VUCA measures. Our text corpus contains [CHECK: approximately 47,668] individual responses pooled across the full sample period.</w:t>
      </w:r>
    </w:p>
    <w:p>
      <w:pPr>
        <w:spacing w:after="40" w:before="0" w:line="480" w:lineRule="exact"/>
        <w:jc w:val="left"/>
      </w:pPr>
      <w:r>
        <w:rPr>
          <w:rFonts w:ascii="Times New Roman" w:hAnsi="Times New Roman"/>
          <w:b/>
          <w:i/>
          <w:sz w:val="24"/>
        </w:rPr>
        <w:t>3.2 Measuring VUCA in Agricultural Sentiment</w:t>
      </w:r>
    </w:p>
    <w:p>
      <w:pPr>
        <w:spacing w:after="0" w:before="0" w:line="480" w:lineRule="exact"/>
        <w:jc w:val="left"/>
      </w:pPr>
      <w:r>
        <w:rPr>
          <w:rFonts w:ascii="Times New Roman" w:hAnsi="Times New Roman"/>
          <w:b w:val="0"/>
          <w:i w:val="0"/>
          <w:sz w:val="24"/>
        </w:rPr>
        <w:t>The VUCA framework — originally developed in military strategic planning and subsequently adopted in organizational and management research (Bennett and Lemoine, 2014) — decomposes environmental turbulence into four conceptually distinct dimensions: Volatility (magnitude and speed of change), Uncertainty (lack of predictability), Complexity (multiplicity of forces), and Ambiguity (unclear causal relationships). We operationalize each dimension using two complementary sub-measures: a quantitative measure derived from the structured survey indices and a text-based measure derived from the open-ended responses. The two sub-measures are standardized and combined into a single monthly score for each dimension.</w:t>
      </w:r>
    </w:p>
    <w:p>
      <w:pPr>
        <w:spacing w:after="40" w:before="0" w:line="480" w:lineRule="exact"/>
        <w:jc w:val="left"/>
      </w:pPr>
      <w:r>
        <w:rPr>
          <w:rFonts w:ascii="Times New Roman" w:hAnsi="Times New Roman"/>
          <w:b w:val="0"/>
          <w:i/>
          <w:sz w:val="24"/>
        </w:rPr>
        <w:t>3.2.1 Standardization</w:t>
      </w:r>
    </w:p>
    <w:p>
      <w:pPr>
        <w:spacing w:after="0" w:before="0" w:line="480" w:lineRule="exact"/>
        <w:jc w:val="left"/>
      </w:pPr>
      <w:r>
        <w:rPr>
          <w:rFonts w:ascii="Times New Roman" w:hAnsi="Times New Roman"/>
          <w:b w:val="0"/>
          <w:i w:val="0"/>
          <w:sz w:val="24"/>
        </w:rPr>
        <w:t>To ensure comparability across dimensions and interpretability relative to a stable reference period, we z-score each sub-measure against a pre-shock baseline window of January 2016 through December 2019:</w:t>
      </w:r>
    </w:p>
    <w:p>
      <w:pPr>
        <w:spacing w:line="360" w:lineRule="exact" w:before="120" w:after="120"/>
        <w:ind w:left="720"/>
      </w:pPr>
      <w:r>
        <w:rPr>
          <w:rFonts w:ascii="Times New Roman" w:hAnsi="Times New Roman"/>
          <w:sz w:val="22"/>
        </w:rPr>
        <w:t xml:space="preserve">(1)  </w:t>
      </w:r>
      <w:r>
        <w:rPr>
          <w:rFonts w:ascii="Courier New" w:hAnsi="Courier New"/>
          <w:sz w:val="20"/>
        </w:rPr>
        <w:t>z_{it} = \frac{x_{it} - \bar{x}_{i,\text{base}}}{\sigma_{i,\text{base}}}</w:t>
      </w:r>
    </w:p>
    <w:p>
      <w:pPr>
        <w:spacing w:after="40" w:line="280" w:lineRule="exact"/>
        <w:ind w:left="720"/>
      </w:pPr>
      <w:r>
        <w:rPr>
          <w:rFonts w:ascii="Times New Roman" w:hAnsi="Times New Roman"/>
          <w:i/>
          <w:sz w:val="18"/>
        </w:rPr>
        <w:t>[To render: In Word, place cursor after equation, press Alt+=, then paste the LaTeX source into the equation editor]</w:t>
      </w:r>
    </w:p>
    <w:p>
      <w:pPr>
        <w:spacing w:after="0" w:before="0" w:line="480" w:lineRule="exact"/>
        <w:jc w:val="left"/>
      </w:pPr>
      <w:r>
        <w:rPr>
          <w:rFonts w:ascii="Times New Roman" w:hAnsi="Times New Roman"/>
          <w:b w:val="0"/>
          <w:i w:val="0"/>
          <w:sz w:val="24"/>
        </w:rPr>
        <w:t>where x̄_i,base and _i,base are the mean and standard deviation of sub-measure i computed over the baseline period. The 2016–2019 window captures a period of normal cyclical variation in agricultural sentiment prior to the major structural disruptions of the COVID-19 pandemic and the post-pandemic inflation cycle. The trade war years (2018–2019) are deliberately included in the baseline to anchor uncertainty at a level that reflects ongoing policy risk rather than an artificially tranquil pre-tariff period.</w:t>
      </w:r>
    </w:p>
    <w:p>
      <w:pPr>
        <w:spacing w:after="0" w:before="0" w:line="480" w:lineRule="exact"/>
        <w:jc w:val="left"/>
      </w:pPr>
      <w:r>
        <w:rPr>
          <w:rFonts w:ascii="Times New Roman" w:hAnsi="Times New Roman"/>
          <w:b w:val="0"/>
          <w:i w:val="0"/>
          <w:sz w:val="24"/>
        </w:rPr>
        <w:t>The final dimension score is the equal-weight average of the standardized quantitative and text sub-measures:</w:t>
      </w:r>
    </w:p>
    <w:p>
      <w:pPr>
        <w:spacing w:line="360" w:lineRule="exact" w:before="120" w:after="120"/>
        <w:ind w:left="720"/>
      </w:pPr>
      <w:r>
        <w:rPr>
          <w:rFonts w:ascii="Times New Roman" w:hAnsi="Times New Roman"/>
          <w:sz w:val="22"/>
        </w:rPr>
        <w:t xml:space="preserve">(2)  </w:t>
      </w:r>
      <w:r>
        <w:rPr>
          <w:rFonts w:ascii="Courier New" w:hAnsi="Courier New"/>
          <w:sz w:val="20"/>
        </w:rPr>
        <w:t>\text{VUCA}_{d,t} = \frac{1}{2}\left(z_{d,\text{quant},t} + z_{d,\text{text},t}\right)</w:t>
      </w:r>
    </w:p>
    <w:p>
      <w:pPr>
        <w:spacing w:after="0" w:before="0" w:line="480" w:lineRule="exact"/>
        <w:jc w:val="left"/>
      </w:pPr>
      <w:r>
        <w:rPr>
          <w:rFonts w:ascii="Times New Roman" w:hAnsi="Times New Roman"/>
          <w:b w:val="0"/>
          <w:i w:val="0"/>
          <w:sz w:val="24"/>
        </w:rPr>
        <w:t>where d  \V, U, C, A\.</w:t>
      </w:r>
    </w:p>
    <w:p>
      <w:pPr>
        <w:spacing w:after="40" w:before="0" w:line="480" w:lineRule="exact"/>
        <w:jc w:val="left"/>
      </w:pPr>
      <w:r>
        <w:rPr>
          <w:rFonts w:ascii="Times New Roman" w:hAnsi="Times New Roman"/>
          <w:b w:val="0"/>
          <w:i/>
          <w:sz w:val="24"/>
        </w:rPr>
        <w:t>3.2.2 Volatility</w:t>
      </w:r>
    </w:p>
    <w:p>
      <w:pPr>
        <w:spacing w:after="0" w:before="0" w:line="480" w:lineRule="exact"/>
        <w:jc w:val="left"/>
      </w:pPr>
      <w:r>
        <w:rPr>
          <w:rFonts w:ascii="Times New Roman" w:hAnsi="Times New Roman"/>
          <w:b w:val="0"/>
          <w:i w:val="0"/>
          <w:sz w:val="24"/>
        </w:rPr>
        <w:t>Volatility captures the magnitude and speed of change in aggregate farmer sentiment. Our quantitative measure (V_quant) is the rolling 12-month standard deviation of first differences in the monthly AEB mean:</w:t>
      </w:r>
    </w:p>
    <w:p>
      <w:pPr>
        <w:spacing w:line="360" w:lineRule="exact" w:before="120" w:after="120"/>
        <w:ind w:left="720"/>
      </w:pPr>
      <w:r>
        <w:rPr>
          <w:rFonts w:ascii="Times New Roman" w:hAnsi="Times New Roman"/>
          <w:sz w:val="22"/>
        </w:rPr>
        <w:t xml:space="preserve">(3)  </w:t>
      </w:r>
      <w:r>
        <w:rPr>
          <w:rFonts w:ascii="Courier New" w:hAnsi="Courier New"/>
          <w:sz w:val="20"/>
        </w:rPr>
        <w:t>V_{\text{quant},t} = \text{SD}\left(\Delta\overline{\text{AEB}}_{t-11}, \ldots, \Delta\overline{\text{AEB}}_{t}\right)</w:t>
      </w:r>
    </w:p>
    <w:p>
      <w:pPr>
        <w:spacing w:after="0" w:before="0" w:line="480" w:lineRule="exact"/>
        <w:jc w:val="left"/>
      </w:pPr>
      <w:r>
        <w:rPr>
          <w:rFonts w:ascii="Times New Roman" w:hAnsi="Times New Roman"/>
          <w:b w:val="0"/>
          <w:i w:val="0"/>
          <w:sz w:val="24"/>
        </w:rPr>
        <w:t>where ̄_t = AEB̄_t - AEB̄_t-1 is the monthly change in the cross-sectional mean AEB index. A 12-month window is chosen to filter seasonal variation while remaining responsive to structural shifts; we report a 6-month window as a robustness check.</w:t>
      </w:r>
    </w:p>
    <w:p>
      <w:pPr>
        <w:spacing w:after="0" w:before="0" w:line="480" w:lineRule="exact"/>
        <w:jc w:val="left"/>
      </w:pPr>
      <w:r>
        <w:rPr>
          <w:rFonts w:ascii="Times New Roman" w:hAnsi="Times New Roman"/>
          <w:b w:val="0"/>
          <w:i w:val="0"/>
          <w:sz w:val="24"/>
        </w:rPr>
        <w:t>Our text-based volatility measure (V_text) captures turnover in the vocabulary of farmer concerns month to month. We compute the Jaccard distance between the sets of the 20 most frequent tokens in consecutive months:</w:t>
      </w:r>
    </w:p>
    <w:p>
      <w:pPr>
        <w:spacing w:line="360" w:lineRule="exact" w:before="120" w:after="120"/>
        <w:ind w:left="720"/>
      </w:pPr>
      <w:r>
        <w:rPr>
          <w:rFonts w:ascii="Times New Roman" w:hAnsi="Times New Roman"/>
          <w:sz w:val="22"/>
        </w:rPr>
        <w:t xml:space="preserve">(4)  </w:t>
      </w:r>
      <w:r>
        <w:rPr>
          <w:rFonts w:ascii="Courier New" w:hAnsi="Courier New"/>
          <w:sz w:val="20"/>
        </w:rPr>
        <w:t>V_{\text{text},t} = 1 - \frac{|T_t \cap T_{t-1}|}{|T_t \cup T_{t-1}|}</w:t>
      </w:r>
    </w:p>
    <w:p>
      <w:pPr>
        <w:spacing w:after="0" w:before="0" w:line="480" w:lineRule="exact"/>
        <w:jc w:val="left"/>
      </w:pPr>
      <w:r>
        <w:rPr>
          <w:rFonts w:ascii="Times New Roman" w:hAnsi="Times New Roman"/>
          <w:b w:val="0"/>
          <w:i w:val="0"/>
          <w:sz w:val="24"/>
        </w:rPr>
        <w:t>where T_t is the set of the 20 highest-frequency tokens in month t after removing standard English stopwords. A value of 1 indicates complete vocabulary turnover; a value of 0 indicates identical top-20 token sets. High lexical turnover reflects rapid shifts in the issues that dominate farmer discourse, consistent with a volatile information environment.</w:t>
      </w:r>
    </w:p>
    <w:p>
      <w:pPr>
        <w:spacing w:after="40" w:before="0" w:line="480" w:lineRule="exact"/>
        <w:jc w:val="left"/>
      </w:pPr>
      <w:r>
        <w:rPr>
          <w:rFonts w:ascii="Times New Roman" w:hAnsi="Times New Roman"/>
          <w:b w:val="0"/>
          <w:i/>
          <w:sz w:val="24"/>
        </w:rPr>
        <w:t>3.2.3 Uncertainty</w:t>
      </w:r>
    </w:p>
    <w:p>
      <w:pPr>
        <w:spacing w:after="0" w:before="0" w:line="480" w:lineRule="exact"/>
        <w:jc w:val="left"/>
      </w:pPr>
      <w:r>
        <w:rPr>
          <w:rFonts w:ascii="Times New Roman" w:hAnsi="Times New Roman"/>
          <w:b w:val="0"/>
          <w:i w:val="0"/>
          <w:sz w:val="24"/>
        </w:rPr>
        <w:t>Uncertainty reflects the degree to which the future is unpredictable. Our quantitative measure (U_quant) is the inverted Index of Future Expectations:</w:t>
      </w:r>
    </w:p>
    <w:p>
      <w:pPr>
        <w:spacing w:line="360" w:lineRule="exact" w:before="120" w:after="120"/>
        <w:ind w:left="720"/>
      </w:pPr>
      <w:r>
        <w:rPr>
          <w:rFonts w:ascii="Times New Roman" w:hAnsi="Times New Roman"/>
          <w:sz w:val="22"/>
        </w:rPr>
        <w:t xml:space="preserve">(5)  </w:t>
      </w:r>
      <w:r>
        <w:rPr>
          <w:rFonts w:ascii="Courier New" w:hAnsi="Courier New"/>
          <w:sz w:val="20"/>
        </w:rPr>
        <w:t>U_{\text{quant},t} = -\overline{\text{IFE}}_t</w:t>
      </w:r>
    </w:p>
    <w:p>
      <w:pPr>
        <w:spacing w:after="0" w:before="0" w:line="480" w:lineRule="exact"/>
        <w:jc w:val="left"/>
      </w:pPr>
      <w:r>
        <w:rPr>
          <w:rFonts w:ascii="Times New Roman" w:hAnsi="Times New Roman"/>
          <w:b w:val="0"/>
          <w:i w:val="0"/>
          <w:sz w:val="24"/>
        </w:rPr>
        <w:t>where IFĒ_t is the monthly cross-sectional mean of the individual IFE scores. The IFE aggregates responses to questions about expected farm financial conditions, capital expenditures, and land values over the coming 12 months. A decline in IFE — farmers becoming more pessimistic about the future — corresponds to rising uncertainty, so the negation aligns the direction of U_quant with the theoretical expectation. This specification is consistent with the use of consumer expectations indices as uncertainty proxies in the macroeconomics literature (Leduc and Liu, 2016).</w:t>
      </w:r>
    </w:p>
    <w:p>
      <w:pPr>
        <w:spacing w:after="0" w:before="0" w:line="480" w:lineRule="exact"/>
        <w:jc w:val="left"/>
      </w:pPr>
      <w:r>
        <w:rPr>
          <w:rFonts w:ascii="Times New Roman" w:hAnsi="Times New Roman"/>
          <w:b w:val="0"/>
          <w:i w:val="0"/>
          <w:sz w:val="24"/>
        </w:rPr>
        <w:t xml:space="preserve">Our text-based uncertainty measure (U_text) is a dictionary-based approach adapted from the Economic Policy Uncertainty (EPU) framework (Baker, Bloom, and Davis, 2016). For each month, we compute the share of open-ended responses containing at least one term from a combined dictionary of general uncertainty words (e.g., </w:t>
      </w:r>
      <w:r>
        <w:rPr>
          <w:rFonts w:ascii="Times New Roman" w:hAnsi="Times New Roman"/>
          <w:b w:val="0"/>
          <w:i/>
          <w:sz w:val="24"/>
        </w:rPr>
        <w:t>uncertain</w:t>
      </w:r>
      <w:r>
        <w:rPr>
          <w:rFonts w:ascii="Times New Roman" w:hAnsi="Times New Roman"/>
          <w:b w:val="0"/>
          <w:i w:val="0"/>
          <w:sz w:val="24"/>
        </w:rPr>
        <w:t xml:space="preserve">, </w:t>
      </w:r>
      <w:r>
        <w:rPr>
          <w:rFonts w:ascii="Times New Roman" w:hAnsi="Times New Roman"/>
          <w:b w:val="0"/>
          <w:i/>
          <w:sz w:val="24"/>
        </w:rPr>
        <w:t>unpredictable</w:t>
      </w:r>
      <w:r>
        <w:rPr>
          <w:rFonts w:ascii="Times New Roman" w:hAnsi="Times New Roman"/>
          <w:b w:val="0"/>
          <w:i w:val="0"/>
          <w:sz w:val="24"/>
        </w:rPr>
        <w:t xml:space="preserve">, </w:t>
      </w:r>
      <w:r>
        <w:rPr>
          <w:rFonts w:ascii="Times New Roman" w:hAnsi="Times New Roman"/>
          <w:b w:val="0"/>
          <w:i/>
          <w:sz w:val="24"/>
        </w:rPr>
        <w:t>risk</w:t>
      </w:r>
      <w:r>
        <w:rPr>
          <w:rFonts w:ascii="Times New Roman" w:hAnsi="Times New Roman"/>
          <w:b w:val="0"/>
          <w:i w:val="0"/>
          <w:sz w:val="24"/>
        </w:rPr>
        <w:t xml:space="preserve">) and agricultural policy-specific terms (e.g., </w:t>
      </w:r>
      <w:r>
        <w:rPr>
          <w:rFonts w:ascii="Times New Roman" w:hAnsi="Times New Roman"/>
          <w:b w:val="0"/>
          <w:i/>
          <w:sz w:val="24"/>
        </w:rPr>
        <w:t>tariff</w:t>
      </w:r>
      <w:r>
        <w:rPr>
          <w:rFonts w:ascii="Times New Roman" w:hAnsi="Times New Roman"/>
          <w:b w:val="0"/>
          <w:i w:val="0"/>
          <w:sz w:val="24"/>
        </w:rPr>
        <w:t xml:space="preserve">, </w:t>
      </w:r>
      <w:r>
        <w:rPr>
          <w:rFonts w:ascii="Times New Roman" w:hAnsi="Times New Roman"/>
          <w:b w:val="0"/>
          <w:i/>
          <w:sz w:val="24"/>
        </w:rPr>
        <w:t>trade war</w:t>
      </w:r>
      <w:r>
        <w:rPr>
          <w:rFonts w:ascii="Times New Roman" w:hAnsi="Times New Roman"/>
          <w:b w:val="0"/>
          <w:i w:val="0"/>
          <w:sz w:val="24"/>
        </w:rPr>
        <w:t xml:space="preserve">, </w:t>
      </w:r>
      <w:r>
        <w:rPr>
          <w:rFonts w:ascii="Times New Roman" w:hAnsi="Times New Roman"/>
          <w:b w:val="0"/>
          <w:i/>
          <w:sz w:val="24"/>
        </w:rPr>
        <w:t>regulation</w:t>
      </w:r>
      <w:r>
        <w:rPr>
          <w:rFonts w:ascii="Times New Roman" w:hAnsi="Times New Roman"/>
          <w:b w:val="0"/>
          <w:i w:val="0"/>
          <w:sz w:val="24"/>
        </w:rPr>
        <w:t xml:space="preserve">, </w:t>
      </w:r>
      <w:r>
        <w:rPr>
          <w:rFonts w:ascii="Times New Roman" w:hAnsi="Times New Roman"/>
          <w:b w:val="0"/>
          <w:i/>
          <w:sz w:val="24"/>
        </w:rPr>
        <w:t>input costs</w:t>
      </w:r>
      <w:r>
        <w:rPr>
          <w:rFonts w:ascii="Times New Roman" w:hAnsi="Times New Roman"/>
          <w:b w:val="0"/>
          <w:i w:val="0"/>
          <w:sz w:val="24"/>
        </w:rPr>
        <w:t xml:space="preserve">, </w:t>
      </w:r>
      <w:r>
        <w:rPr>
          <w:rFonts w:ascii="Times New Roman" w:hAnsi="Times New Roman"/>
          <w:b w:val="0"/>
          <w:i/>
          <w:sz w:val="24"/>
        </w:rPr>
        <w:t>drought</w:t>
      </w:r>
      <w:r>
        <w:rPr>
          <w:rFonts w:ascii="Times New Roman" w:hAnsi="Times New Roman"/>
          <w:b w:val="0"/>
          <w:i w:val="0"/>
          <w:sz w:val="24"/>
        </w:rPr>
        <w:t>):</w:t>
      </w:r>
    </w:p>
    <w:p>
      <w:pPr>
        <w:spacing w:line="360" w:lineRule="exact" w:before="120" w:after="120"/>
        <w:ind w:left="720"/>
      </w:pPr>
      <w:r>
        <w:rPr>
          <w:rFonts w:ascii="Times New Roman" w:hAnsi="Times New Roman"/>
          <w:sz w:val="22"/>
        </w:rPr>
        <w:t xml:space="preserve">(6)  </w:t>
      </w:r>
      <w:r>
        <w:rPr>
          <w:rFonts w:ascii="Courier New" w:hAnsi="Courier New"/>
          <w:sz w:val="20"/>
        </w:rPr>
        <w:t>U_{\text{text},t} = \frac{1}{N_t} \sum_{i=1}^{N_t} \mathbf{1}\left[\exists\, w \in \mathcal{D}_U : w \in r_{it}\right]</w:t>
      </w:r>
    </w:p>
    <w:p>
      <w:pPr>
        <w:spacing w:after="0" w:before="0" w:line="480" w:lineRule="exact"/>
        <w:jc w:val="left"/>
      </w:pPr>
      <w:r>
        <w:rPr>
          <w:rFonts w:ascii="Times New Roman" w:hAnsi="Times New Roman"/>
          <w:b w:val="0"/>
          <w:i w:val="0"/>
          <w:sz w:val="24"/>
        </w:rPr>
        <w:t>where N_t is the number of responses in month t, r_it is the text of response i, and D_U is the uncertainty dictionary. The full dictionary is provided in the supplementary materials.</w:t>
      </w:r>
    </w:p>
    <w:p>
      <w:pPr>
        <w:spacing w:after="40" w:before="0" w:line="480" w:lineRule="exact"/>
        <w:jc w:val="left"/>
      </w:pPr>
      <w:r>
        <w:rPr>
          <w:rFonts w:ascii="Times New Roman" w:hAnsi="Times New Roman"/>
          <w:b w:val="0"/>
          <w:i/>
          <w:sz w:val="24"/>
        </w:rPr>
        <w:t>3.2.4 Complexity</w:t>
      </w:r>
    </w:p>
    <w:p>
      <w:pPr>
        <w:spacing w:after="0" w:before="0" w:line="480" w:lineRule="exact"/>
        <w:jc w:val="left"/>
      </w:pPr>
      <w:r>
        <w:rPr>
          <w:rFonts w:ascii="Times New Roman" w:hAnsi="Times New Roman"/>
          <w:b w:val="0"/>
          <w:i w:val="0"/>
          <w:sz w:val="24"/>
        </w:rPr>
        <w:t>Complexity captures the number of distinct forces acting simultaneously on farmer decision-making. We operationalize this using Latent Dirichlet Allocation (LDA) (Blei, Ng, and Jordan, 2003) applied to the pooled text corpus. We fit a K = 10 topic model on all monthly responses, then extract per-month topic share vectors representing the distribution of discourse across topics.</w:t>
      </w:r>
    </w:p>
    <w:p>
      <w:pPr>
        <w:spacing w:after="0" w:before="0" w:line="480" w:lineRule="exact"/>
        <w:jc w:val="left"/>
      </w:pPr>
      <w:r>
        <w:rPr>
          <w:rFonts w:ascii="Times New Roman" w:hAnsi="Times New Roman"/>
          <w:b w:val="0"/>
          <w:i w:val="0"/>
          <w:sz w:val="24"/>
        </w:rPr>
        <w:t>Our text-based complexity measure (C_text) is the mean Shannon entropy of the per-response topic distribution within each month:</w:t>
      </w:r>
    </w:p>
    <w:p>
      <w:pPr>
        <w:spacing w:line="360" w:lineRule="exact" w:before="120" w:after="120"/>
        <w:ind w:left="720"/>
      </w:pPr>
      <w:r>
        <w:rPr>
          <w:rFonts w:ascii="Times New Roman" w:hAnsi="Times New Roman"/>
          <w:sz w:val="22"/>
        </w:rPr>
        <w:t xml:space="preserve">(7)  </w:t>
      </w:r>
      <w:r>
        <w:rPr>
          <w:rFonts w:ascii="Courier New" w:hAnsi="Courier New"/>
          <w:sz w:val="20"/>
        </w:rPr>
        <w:t>C_{\text{text},t} = \frac{1}{N_t} \sum_{i=1}^{N_t} H(\boldsymbol{\theta}_{it})</w:t>
      </w:r>
    </w:p>
    <w:p>
      <w:pPr>
        <w:spacing w:after="0" w:before="0" w:line="480" w:lineRule="exact"/>
        <w:jc w:val="left"/>
      </w:pPr>
      <w:r>
        <w:rPr>
          <w:rFonts w:ascii="Times New Roman" w:hAnsi="Times New Roman"/>
          <w:b w:val="0"/>
          <w:i w:val="0"/>
          <w:sz w:val="24"/>
        </w:rPr>
        <w:t>where H(_it) = -_k=1^K _itk  _itk is the entropy of response i's topic distribution. Higher entropy indicates that a respondent's discourse draws on a more diverse set of topics, consistent with a more complex information environment.</w:t>
      </w:r>
    </w:p>
    <w:p>
      <w:pPr>
        <w:spacing w:after="0" w:before="0" w:line="480" w:lineRule="exact"/>
        <w:jc w:val="left"/>
      </w:pPr>
      <w:r>
        <w:rPr>
          <w:rFonts w:ascii="Times New Roman" w:hAnsi="Times New Roman"/>
          <w:b w:val="0"/>
          <w:i w:val="0"/>
          <w:sz w:val="24"/>
        </w:rPr>
        <w:t>Our quantitative complexity measure (C_quant) captures the dimensionality of the monthly topic distribution over time. We apply rolling Principal Component Analysis (PCA) over a 12-month window to the sequence of monthly mean topic share vectors, and define complexity as the inverse of the variance explained by the first principal component:</w:t>
      </w:r>
    </w:p>
    <w:p>
      <w:pPr>
        <w:spacing w:line="360" w:lineRule="exact" w:before="120" w:after="120"/>
        <w:ind w:left="720"/>
      </w:pPr>
      <w:r>
        <w:rPr>
          <w:rFonts w:ascii="Times New Roman" w:hAnsi="Times New Roman"/>
          <w:sz w:val="22"/>
        </w:rPr>
        <w:t xml:space="preserve">(8)  </w:t>
      </w:r>
      <w:r>
        <w:rPr>
          <w:rFonts w:ascii="Courier New" w:hAnsi="Courier New"/>
          <w:sz w:val="20"/>
        </w:rPr>
        <w:t>C_{\text{quant},t} = 1 - \lambda_1^{(t)}</w:t>
      </w:r>
    </w:p>
    <w:p>
      <w:pPr>
        <w:spacing w:after="0" w:before="0" w:line="480" w:lineRule="exact"/>
        <w:jc w:val="left"/>
      </w:pPr>
      <w:r>
        <w:rPr>
          <w:rFonts w:ascii="Times New Roman" w:hAnsi="Times New Roman"/>
          <w:b w:val="0"/>
          <w:i w:val="0"/>
          <w:sz w:val="24"/>
        </w:rPr>
        <w:t>where _1^(t) is the share of variance explained by PC1 in the rolling window ending at month t. When a single dominant topic explains most variation (_1^(t)  1), the information environment is low-complexity; when the topic space is multidimensional (_1^(t)  0), it is high-complexity. All LDA models are estimated with a fixed random seed to ensure replicability.</w:t>
      </w:r>
    </w:p>
    <w:p>
      <w:pPr>
        <w:spacing w:after="40" w:before="0" w:line="480" w:lineRule="exact"/>
        <w:jc w:val="left"/>
      </w:pPr>
      <w:r>
        <w:rPr>
          <w:rFonts w:ascii="Times New Roman" w:hAnsi="Times New Roman"/>
          <w:b w:val="0"/>
          <w:i/>
          <w:sz w:val="24"/>
        </w:rPr>
        <w:t>3.2.5 Ambiguity</w:t>
      </w:r>
    </w:p>
    <w:p>
      <w:pPr>
        <w:spacing w:after="0" w:before="0" w:line="480" w:lineRule="exact"/>
        <w:jc w:val="left"/>
      </w:pPr>
      <w:r>
        <w:rPr>
          <w:rFonts w:ascii="Times New Roman" w:hAnsi="Times New Roman"/>
          <w:b w:val="0"/>
          <w:i w:val="0"/>
          <w:sz w:val="24"/>
        </w:rPr>
        <w:t>Ambiguity arises when the causal structure of the environment itself is unclear — when the meaning of signals is contested or contradictory (Bennett and Lemoine, 2014). We capture this through both the distributional shape of individual AEB responses and the co-occurrence of contradictory sentiment in text responses.</w:t>
      </w:r>
    </w:p>
    <w:p>
      <w:pPr>
        <w:spacing w:after="0" w:before="0" w:line="480" w:lineRule="exact"/>
        <w:jc w:val="left"/>
      </w:pPr>
      <w:r>
        <w:rPr>
          <w:rFonts w:ascii="Times New Roman" w:hAnsi="Times New Roman"/>
          <w:b w:val="0"/>
          <w:i w:val="0"/>
          <w:sz w:val="24"/>
        </w:rPr>
        <w:t>Our quantitative ambiguity measure combines three components. First, we compute monthly excess kurtosis of the individual AEB distribution (A_kurt,t), where a leptokurtic distribution (heavy tails, sharp center) indicates that most farmers agree but a substantial minority holds extreme views — a signature of an ambiguous signal. Second, we apply the Hartigan dip test (Hartigan and Hartigan, 1985) to the monthly AEB distribution as a formal test of bimodality (A_dip,t); a bimodal distribution indicates that farmers cluster at two distinct sentiment levels, consistent with a mixed-signal environment. Third, we count the number of sign changes in monthly skewness over a 6-month rolling window (A_flip,t), capturing instability in the direction of distributional asymmetry. The three components are standardized and averaged:</w:t>
      </w:r>
    </w:p>
    <w:p>
      <w:pPr>
        <w:spacing w:line="360" w:lineRule="exact" w:before="120" w:after="120"/>
        <w:ind w:left="720"/>
      </w:pPr>
      <w:r>
        <w:rPr>
          <w:rFonts w:ascii="Times New Roman" w:hAnsi="Times New Roman"/>
          <w:sz w:val="22"/>
        </w:rPr>
        <w:t xml:space="preserve">(9)  </w:t>
      </w:r>
      <w:r>
        <w:rPr>
          <w:rFonts w:ascii="Courier New" w:hAnsi="Courier New"/>
          <w:sz w:val="20"/>
        </w:rPr>
        <w:t>A_{\text{quant},t} = \frac{1}{3}\left(z_{A_{\text{kurt}},t} + z_{A_{\text{dip}},t} + z_{A_{\text{flip}},t}\right)</w:t>
      </w:r>
    </w:p>
    <w:p>
      <w:pPr>
        <w:spacing w:after="0" w:before="0" w:line="480" w:lineRule="exact"/>
        <w:jc w:val="left"/>
      </w:pPr>
      <w:r>
        <w:rPr>
          <w:rFonts w:ascii="Times New Roman" w:hAnsi="Times New Roman"/>
          <w:b w:val="0"/>
          <w:i w:val="0"/>
          <w:sz w:val="24"/>
        </w:rPr>
        <w:t xml:space="preserve">Our text-based ambiguity measure combines two indicators. The polarity conflict rate (A_pol,t) is the share of monthly responses containing both positive-sentiment tokens (e.g., </w:t>
      </w:r>
      <w:r>
        <w:rPr>
          <w:rFonts w:ascii="Times New Roman" w:hAnsi="Times New Roman"/>
          <w:b w:val="0"/>
          <w:i/>
          <w:sz w:val="24"/>
        </w:rPr>
        <w:t>profitable</w:t>
      </w:r>
      <w:r>
        <w:rPr>
          <w:rFonts w:ascii="Times New Roman" w:hAnsi="Times New Roman"/>
          <w:b w:val="0"/>
          <w:i w:val="0"/>
          <w:sz w:val="24"/>
        </w:rPr>
        <w:t xml:space="preserve">, </w:t>
      </w:r>
      <w:r>
        <w:rPr>
          <w:rFonts w:ascii="Times New Roman" w:hAnsi="Times New Roman"/>
          <w:b w:val="0"/>
          <w:i/>
          <w:sz w:val="24"/>
        </w:rPr>
        <w:t>confident</w:t>
      </w:r>
      <w:r>
        <w:rPr>
          <w:rFonts w:ascii="Times New Roman" w:hAnsi="Times New Roman"/>
          <w:b w:val="0"/>
          <w:i w:val="0"/>
          <w:sz w:val="24"/>
        </w:rPr>
        <w:t xml:space="preserve">, </w:t>
      </w:r>
      <w:r>
        <w:rPr>
          <w:rFonts w:ascii="Times New Roman" w:hAnsi="Times New Roman"/>
          <w:b w:val="0"/>
          <w:i/>
          <w:sz w:val="24"/>
        </w:rPr>
        <w:t>improve</w:t>
      </w:r>
      <w:r>
        <w:rPr>
          <w:rFonts w:ascii="Times New Roman" w:hAnsi="Times New Roman"/>
          <w:b w:val="0"/>
          <w:i w:val="0"/>
          <w:sz w:val="24"/>
        </w:rPr>
        <w:t xml:space="preserve">) and negative-sentiment tokens (e.g., </w:t>
      </w:r>
      <w:r>
        <w:rPr>
          <w:rFonts w:ascii="Times New Roman" w:hAnsi="Times New Roman"/>
          <w:b w:val="0"/>
          <w:i/>
          <w:sz w:val="24"/>
        </w:rPr>
        <w:t>struggling</w:t>
      </w:r>
      <w:r>
        <w:rPr>
          <w:rFonts w:ascii="Times New Roman" w:hAnsi="Times New Roman"/>
          <w:b w:val="0"/>
          <w:i w:val="0"/>
          <w:sz w:val="24"/>
        </w:rPr>
        <w:t xml:space="preserve">, </w:t>
      </w:r>
      <w:r>
        <w:rPr>
          <w:rFonts w:ascii="Times New Roman" w:hAnsi="Times New Roman"/>
          <w:b w:val="0"/>
          <w:i/>
          <w:sz w:val="24"/>
        </w:rPr>
        <w:t>loss</w:t>
      </w:r>
      <w:r>
        <w:rPr>
          <w:rFonts w:ascii="Times New Roman" w:hAnsi="Times New Roman"/>
          <w:b w:val="0"/>
          <w:i w:val="0"/>
          <w:sz w:val="24"/>
        </w:rPr>
        <w:t xml:space="preserve">, </w:t>
      </w:r>
      <w:r>
        <w:rPr>
          <w:rFonts w:ascii="Times New Roman" w:hAnsi="Times New Roman"/>
          <w:b w:val="0"/>
          <w:i/>
          <w:sz w:val="24"/>
        </w:rPr>
        <w:t>decline</w:t>
      </w:r>
      <w:r>
        <w:rPr>
          <w:rFonts w:ascii="Times New Roman" w:hAnsi="Times New Roman"/>
          <w:b w:val="0"/>
          <w:i w:val="0"/>
          <w:sz w:val="24"/>
        </w:rPr>
        <w:t xml:space="preserve">) — responses in which the respondent expresses simultaneously optimistic and pessimistic signals. The ambiguity phrase rate (A_phr,t) is the share of responses containing hedging expressions (e.g., </w:t>
      </w:r>
      <w:r>
        <w:rPr>
          <w:rFonts w:ascii="Times New Roman" w:hAnsi="Times New Roman"/>
          <w:b w:val="0"/>
          <w:i/>
          <w:sz w:val="24"/>
        </w:rPr>
        <w:t>hard to tell</w:t>
      </w:r>
      <w:r>
        <w:rPr>
          <w:rFonts w:ascii="Times New Roman" w:hAnsi="Times New Roman"/>
          <w:b w:val="0"/>
          <w:i w:val="0"/>
          <w:sz w:val="24"/>
        </w:rPr>
        <w:t xml:space="preserve">, </w:t>
      </w:r>
      <w:r>
        <w:rPr>
          <w:rFonts w:ascii="Times New Roman" w:hAnsi="Times New Roman"/>
          <w:b w:val="0"/>
          <w:i/>
          <w:sz w:val="24"/>
        </w:rPr>
        <w:t>depends</w:t>
      </w:r>
      <w:r>
        <w:rPr>
          <w:rFonts w:ascii="Times New Roman" w:hAnsi="Times New Roman"/>
          <w:b w:val="0"/>
          <w:i w:val="0"/>
          <w:sz w:val="24"/>
        </w:rPr>
        <w:t xml:space="preserve">, </w:t>
      </w:r>
      <w:r>
        <w:rPr>
          <w:rFonts w:ascii="Times New Roman" w:hAnsi="Times New Roman"/>
          <w:b w:val="0"/>
          <w:i/>
          <w:sz w:val="24"/>
        </w:rPr>
        <w:t>mixed signals</w:t>
      </w:r>
      <w:r>
        <w:rPr>
          <w:rFonts w:ascii="Times New Roman" w:hAnsi="Times New Roman"/>
          <w:b w:val="0"/>
          <w:i w:val="0"/>
          <w:sz w:val="24"/>
        </w:rPr>
        <w:t xml:space="preserve">, </w:t>
      </w:r>
      <w:r>
        <w:rPr>
          <w:rFonts w:ascii="Times New Roman" w:hAnsi="Times New Roman"/>
          <w:b w:val="0"/>
          <w:i/>
          <w:sz w:val="24"/>
        </w:rPr>
        <w:t>wait and see</w:t>
      </w:r>
      <w:r>
        <w:rPr>
          <w:rFonts w:ascii="Times New Roman" w:hAnsi="Times New Roman"/>
          <w:b w:val="0"/>
          <w:i w:val="0"/>
          <w:sz w:val="24"/>
        </w:rPr>
        <w:t>). Both are averaged after standardization:</w:t>
      </w:r>
    </w:p>
    <w:p>
      <w:pPr>
        <w:spacing w:line="360" w:lineRule="exact" w:before="120" w:after="120"/>
        <w:ind w:left="720"/>
      </w:pPr>
      <w:r>
        <w:rPr>
          <w:rFonts w:ascii="Times New Roman" w:hAnsi="Times New Roman"/>
          <w:sz w:val="22"/>
        </w:rPr>
        <w:t xml:space="preserve">(10)  </w:t>
      </w:r>
      <w:r>
        <w:rPr>
          <w:rFonts w:ascii="Courier New" w:hAnsi="Courier New"/>
          <w:sz w:val="20"/>
        </w:rPr>
        <w:t>A_{\text{text},t} = \frac{1}{2}\left(z_{A_{\text{pol}},t} + z_{A_{\text{phr}},t}\right)</w:t>
      </w:r>
    </w:p>
    <w:p>
      <w:pPr>
        <w:spacing w:after="40" w:before="0" w:line="480" w:lineRule="exact"/>
        <w:jc w:val="left"/>
      </w:pPr>
      <w:r>
        <w:rPr>
          <w:rFonts w:ascii="Times New Roman" w:hAnsi="Times New Roman"/>
          <w:b/>
          <w:i/>
          <w:sz w:val="24"/>
        </w:rPr>
        <w:t>3.3 Validation</w:t>
      </w:r>
    </w:p>
    <w:p>
      <w:pPr>
        <w:spacing w:after="0" w:before="0" w:line="480" w:lineRule="exact"/>
        <w:jc w:val="left"/>
      </w:pPr>
      <w:r>
        <w:rPr>
          <w:rFonts w:ascii="Times New Roman" w:hAnsi="Times New Roman"/>
          <w:b w:val="0"/>
          <w:i w:val="0"/>
          <w:sz w:val="24"/>
        </w:rPr>
        <w:t>We assess the construct validity of our VUCA measures using three complementary approaches.</w:t>
      </w:r>
    </w:p>
    <w:p>
      <w:pPr>
        <w:spacing w:after="0" w:before="0" w:line="480" w:lineRule="exact"/>
        <w:jc w:val="left"/>
      </w:pPr>
      <w:r>
        <w:rPr>
          <w:rFonts w:ascii="Times New Roman" w:hAnsi="Times New Roman"/>
          <w:b w:val="0"/>
          <w:i w:val="0"/>
          <w:sz w:val="24"/>
        </w:rPr>
      </w:r>
      <w:r>
        <w:rPr>
          <w:rFonts w:ascii="Times New Roman" w:hAnsi="Times New Roman"/>
          <w:b/>
          <w:i w:val="0"/>
          <w:sz w:val="24"/>
        </w:rPr>
        <w:t>Face validity.</w:t>
      </w:r>
      <w:r>
        <w:rPr>
          <w:rFonts w:ascii="Times New Roman" w:hAnsi="Times New Roman"/>
          <w:b w:val="0"/>
          <w:i w:val="0"/>
          <w:sz w:val="24"/>
        </w:rPr>
        <w:t xml:space="preserve"> We examine whether each dimension score is elevated in the months surrounding five major structural events: the November 2016 U.S. presidential election, the March 2018 tariff announcements, the May 2019 U.S.–China trade war escalation, the March 2020 COVID-19 pandemic onset, and the March 2022 Federal Reserve rate hiking cycle. We compute average dimension scores in a ±2 month window around each event and compare them to the 2016–2019 baseline mean.</w:t>
      </w:r>
    </w:p>
    <w:p>
      <w:pPr>
        <w:spacing w:after="0" w:before="0" w:line="480" w:lineRule="exact"/>
        <w:jc w:val="left"/>
      </w:pPr>
      <w:r>
        <w:rPr>
          <w:rFonts w:ascii="Times New Roman" w:hAnsi="Times New Roman"/>
          <w:b w:val="0"/>
          <w:i w:val="0"/>
          <w:sz w:val="24"/>
        </w:rPr>
      </w:r>
      <w:r>
        <w:rPr>
          <w:rFonts w:ascii="Times New Roman" w:hAnsi="Times New Roman"/>
          <w:b/>
          <w:i w:val="0"/>
          <w:sz w:val="24"/>
        </w:rPr>
        <w:t>Convergent validity.</w:t>
      </w:r>
      <w:r>
        <w:rPr>
          <w:rFonts w:ascii="Times New Roman" w:hAnsi="Times New Roman"/>
          <w:b w:val="0"/>
          <w:i w:val="0"/>
          <w:sz w:val="24"/>
        </w:rPr>
        <w:t xml:space="preserve"> We compute Pearson and Spearman correlations between each VUCA dimension score and the monthly mean AEB index. Theory predicts a negative relationship between uncertainty and overall sentiment (higher uncertainty depresses farm confidence), and a negative relationship between ambiguity and AEB. We do not impose a directional prior on volatility or complexity, as the relationship between these dimensions and aggregate sentiment is theoretically ambiguous.</w:t>
      </w:r>
    </w:p>
    <w:p>
      <w:pPr>
        <w:spacing w:after="0" w:before="0" w:line="480" w:lineRule="exact"/>
        <w:jc w:val="left"/>
      </w:pPr>
      <w:r>
        <w:rPr>
          <w:rFonts w:ascii="Times New Roman" w:hAnsi="Times New Roman"/>
          <w:b w:val="0"/>
          <w:i w:val="0"/>
          <w:sz w:val="24"/>
        </w:rPr>
      </w:r>
      <w:r>
        <w:rPr>
          <w:rFonts w:ascii="Times New Roman" w:hAnsi="Times New Roman"/>
          <w:b/>
          <w:i w:val="0"/>
          <w:sz w:val="24"/>
        </w:rPr>
        <w:t>Discriminant validity.</w:t>
      </w:r>
      <w:r>
        <w:rPr>
          <w:rFonts w:ascii="Times New Roman" w:hAnsi="Times New Roman"/>
          <w:b w:val="0"/>
          <w:i w:val="0"/>
          <w:sz w:val="24"/>
        </w:rPr>
        <w:t xml:space="preserve"> We compute the full cross-correlation matrix of the four VUCA dimension scores. If each dimension captures a conceptually distinct aspect of environmental turbulence, we expect low to moderate inter-correlations. We flag pairs with Pearson |r| &gt; 0.70 as potential evidence of construct overlap.</w:t>
      </w:r>
    </w:p>
    <w:p>
      <w:pPr>
        <w:spacing w:after="0" w:before="0" w:line="480" w:lineRule="exact"/>
        <w:jc w:val="left"/>
      </w:pPr>
      <w:r>
        <w:rPr>
          <w:rFonts w:ascii="Times New Roman" w:hAnsi="Times New Roman"/>
          <w:b w:val="0"/>
          <w:i w:val="0"/>
          <w:sz w:val="24"/>
        </w:rPr>
      </w:r>
      <w:r>
        <w:rPr>
          <w:rFonts w:ascii="Times New Roman" w:hAnsi="Times New Roman"/>
          <w:b/>
          <w:i w:val="0"/>
          <w:sz w:val="24"/>
        </w:rPr>
        <w:t>Predictive validity.</w:t>
      </w:r>
      <w:r>
        <w:rPr>
          <w:rFonts w:ascii="Times New Roman" w:hAnsi="Times New Roman"/>
          <w:b w:val="0"/>
          <w:i w:val="0"/>
          <w:sz w:val="24"/>
        </w:rPr>
        <w:t xml:space="preserve"> We assess whether VUCA dimension scores contain leading information for downstream agricultural economic outcomes using Granger causality tests (Granger, 1969). Our external validation series are drawn from the Creighton University Main Street Economy survey (Goss and Natvig, 2023), a monthly survey of rural bank CEOs in agriculturally dependent regions of the United States: (i) a farm loan volume index, (ii) a farm equipment sales index, and (iii) a farmland price index. All three are diffusion indices with a neutral threshold of 50, analogous in construction to the AEB.</w:t>
      </w:r>
    </w:p>
    <w:p>
      <w:pPr>
        <w:spacing w:after="0" w:before="0" w:line="480" w:lineRule="exact"/>
        <w:jc w:val="left"/>
      </w:pPr>
      <w:r>
        <w:rPr>
          <w:rFonts w:ascii="Times New Roman" w:hAnsi="Times New Roman"/>
          <w:b w:val="0"/>
          <w:i w:val="0"/>
          <w:sz w:val="24"/>
        </w:rPr>
        <w:t>Prior to testing, we apply augmented Dickey-Fuller (ADF) tests to each series and first-difference any non-stationary series. We then estimate bivariate Granger causality models of the form:</w:t>
      </w:r>
    </w:p>
    <w:p>
      <w:pPr>
        <w:spacing w:line="360" w:lineRule="exact" w:before="120" w:after="120"/>
        <w:ind w:left="720"/>
      </w:pPr>
      <w:r>
        <w:rPr>
          <w:rFonts w:ascii="Times New Roman" w:hAnsi="Times New Roman"/>
          <w:sz w:val="22"/>
        </w:rPr>
        <w:t xml:space="preserve">(11)  </w:t>
      </w:r>
      <w:r>
        <w:rPr>
          <w:rFonts w:ascii="Courier New" w:hAnsi="Courier New"/>
          <w:sz w:val="20"/>
        </w:rPr>
        <w:t>y_t = \alpha + \sum_{l=1}^{L} \beta_l y_{t-l} + \sum_{l=1}^{L} \gamma_l x_{t-l} + \varepsilon_t</w:t>
      </w:r>
    </w:p>
    <w:p>
      <w:pPr>
        <w:spacing w:after="0" w:before="0" w:line="480" w:lineRule="exact"/>
        <w:jc w:val="left"/>
      </w:pPr>
      <w:r>
        <w:rPr>
          <w:rFonts w:ascii="Times New Roman" w:hAnsi="Times New Roman"/>
          <w:b w:val="0"/>
          <w:i w:val="0"/>
          <w:sz w:val="24"/>
        </w:rPr>
        <w:t>where y_t is the external indicator, x_t is the VUCA dimension score, and L is the lag order. We test up to L = 4 monthly lags and report the F-statistic and p-value for the joint null hypothesis H_0: _1 =  = _L = 0. Rejection of H_0 indicates that lagged VUCA scores contain predictive information for the external outcome beyond the outcome's own history. We interpret Granger causality as predictive relevance rather than structural causation (Sims, 1980).</w:t>
      </w:r>
    </w:p>
    <w:p/>
    <w:p>
      <w:pPr>
        <w:spacing w:after="0" w:before="0" w:line="480" w:lineRule="exact"/>
        <w:jc w:val="left"/>
      </w:pPr>
      <w:r>
        <w:rPr>
          <w:rFonts w:ascii="Times New Roman" w:hAnsi="Times New Roman"/>
          <w:b w:val="0"/>
          <w:i w:val="0"/>
          <w:sz w:val="24"/>
        </w:rPr>
      </w:r>
      <w:r>
        <w:rPr>
          <w:rFonts w:ascii="Times New Roman" w:hAnsi="Times New Roman"/>
          <w:b/>
          <w:i w:val="0"/>
          <w:sz w:val="24"/>
        </w:rPr>
        <w:t>Target:</w:t>
      </w:r>
      <w:r>
        <w:rPr>
          <w:rFonts w:ascii="Times New Roman" w:hAnsi="Times New Roman"/>
          <w:b w:val="0"/>
          <w:i w:val="0"/>
          <w:sz w:val="24"/>
        </w:rPr>
        <w:t xml:space="preserve"> American Journal of Agricultural Economics (AJAE)</w:t>
      </w:r>
    </w:p>
    <w:p>
      <w:pPr>
        <w:spacing w:after="0" w:before="0" w:line="480" w:lineRule="exact"/>
        <w:jc w:val="left"/>
      </w:pPr>
      <w:r>
        <w:rPr>
          <w:rFonts w:ascii="Times New Roman" w:hAnsi="Times New Roman"/>
          <w:b w:val="0"/>
          <w:i w:val="0"/>
          <w:sz w:val="24"/>
        </w:rPr>
      </w:r>
      <w:r>
        <w:rPr>
          <w:rFonts w:ascii="Times New Roman" w:hAnsi="Times New Roman"/>
          <w:b/>
          <w:i w:val="0"/>
          <w:sz w:val="24"/>
        </w:rPr>
        <w:t>Status:</w:t>
      </w:r>
      <w:r>
        <w:rPr>
          <w:rFonts w:ascii="Times New Roman" w:hAnsi="Times New Roman"/>
          <w:b w:val="0"/>
          <w:i w:val="0"/>
          <w:sz w:val="24"/>
        </w:rPr>
        <w:t xml:space="preserve"> Draft v2 — 2026-03-13 (citations filled; confirmed checks resolved)</w:t>
      </w:r>
    </w:p>
    <w:p>
      <w:pPr>
        <w:spacing w:after="0" w:before="0" w:line="480" w:lineRule="exact"/>
        <w:jc w:val="left"/>
      </w:pPr>
      <w:r>
        <w:rPr>
          <w:rFonts w:ascii="Times New Roman" w:hAnsi="Times New Roman"/>
          <w:b w:val="0"/>
          <w:i w:val="0"/>
          <w:sz w:val="24"/>
        </w:rPr>
      </w:r>
      <w:r>
        <w:rPr>
          <w:rFonts w:ascii="Times New Roman" w:hAnsi="Times New Roman"/>
          <w:b/>
          <w:i w:val="0"/>
          <w:sz w:val="24"/>
        </w:rPr>
        <w:t>Note:</w:t>
      </w:r>
      <w:r>
        <w:rPr>
          <w:rFonts w:ascii="Times New Roman" w:hAnsi="Times New Roman"/>
          <w:b w:val="0"/>
          <w:i w:val="0"/>
          <w:sz w:val="24"/>
        </w:rPr>
        <w:t xml:space="preserve"> [CHECK] = verify against figures/tables before submission.</w:t>
      </w:r>
    </w:p>
    <w:p>
      <w:pPr>
        <w:spacing w:after="40" w:before="0" w:line="480" w:lineRule="exact"/>
        <w:jc w:val="left"/>
      </w:pPr>
      <w:r>
        <w:rPr>
          <w:rFonts w:ascii="Times New Roman" w:hAnsi="Times New Roman"/>
          <w:b/>
          <w:i w:val="0"/>
          <w:sz w:val="24"/>
        </w:rPr>
        <w:t>4. Results</w:t>
      </w:r>
    </w:p>
    <w:p>
      <w:pPr>
        <w:spacing w:after="40" w:before="0" w:line="480" w:lineRule="exact"/>
        <w:jc w:val="left"/>
      </w:pPr>
      <w:r>
        <w:rPr>
          <w:rFonts w:ascii="Times New Roman" w:hAnsi="Times New Roman"/>
          <w:b/>
          <w:i/>
          <w:sz w:val="24"/>
        </w:rPr>
        <w:t>4.1 Descriptive Patterns in VUCA Dimensions</w:t>
      </w:r>
    </w:p>
    <w:p>
      <w:pPr>
        <w:spacing w:after="0" w:before="0" w:line="480" w:lineRule="exact"/>
        <w:jc w:val="left"/>
      </w:pPr>
      <w:r>
        <w:rPr>
          <w:rFonts w:ascii="Times New Roman" w:hAnsi="Times New Roman"/>
          <w:b w:val="0"/>
          <w:i w:val="0"/>
          <w:sz w:val="24"/>
        </w:rPr>
        <w:t>Figure 1 presents the monthly AEB index over the full sample period (October 2015 through December 2024). The series exhibits clear cyclical variation, with sustained elevated sentiment during the 2017–2018 commodity price recovery, a sharp decline coinciding with the onset of the COVID-19 pandemic in March 2020, and a subsequent rebound driven by strong commodity prices in 2021–2022. These patterns provide a benchmark against which the VUCA dimension scores can be assessed.</w:t>
      </w:r>
    </w:p>
    <w:p>
      <w:pPr>
        <w:spacing w:after="0" w:before="0" w:line="480" w:lineRule="exact"/>
        <w:jc w:val="left"/>
      </w:pPr>
      <w:r>
        <w:rPr>
          <w:rFonts w:ascii="Times New Roman" w:hAnsi="Times New Roman"/>
          <w:b w:val="0"/>
          <w:i w:val="0"/>
          <w:sz w:val="24"/>
        </w:rPr>
        <w:t>Figure 2 presents the four VUCA dimension scores over the same period. Several features are noteworthy. First, the Volatility dimension (V) exhibits its two largest spikes during the May 2019 U.S.–China trade war escalation (+1.11 SD above baseline) and the March 2020 COVID-19 onset (+1.68 SD), consistent with the interpretation of these events as periods of rapid and large-scale change in the agricultural operating environment. Second, the Complexity dimension (C) rises sharply during the 2021–2022 period, reaching its clearest expression at the March 2022 Federal Reserve rate hiking cycle (+2.29 SD), reflecting the simultaneous pressures of commodity price surges, input cost inflation, and supply chain disruption that characterized the post-pandemic agricultural economy — a period in which farmers faced an unusually large number of distinct and interacting forces. Third, the Uncertainty dimension (U) tracks inversely with the AEB throughout the sample, consistent with the theoretical expectation that aggregate pessimism and forward-looking uncertainty move together. Fourth, the Ambiguity dimension (A) exhibits more muted variation, with the clearest signal appearing around the November 2016 presidential election (+0.51 SD) — a period in which farm policy expectations were genuinely unclear.</w:t>
      </w:r>
    </w:p>
    <w:p>
      <w:pPr>
        <w:spacing w:after="0" w:before="0" w:line="480" w:lineRule="exact"/>
        <w:jc w:val="left"/>
      </w:pPr>
      <w:r>
        <w:rPr>
          <w:rFonts w:ascii="Times New Roman" w:hAnsi="Times New Roman"/>
          <w:b w:val="0"/>
          <w:i w:val="0"/>
          <w:sz w:val="24"/>
        </w:rPr>
        <w:t>Table 1 reports descriptive statistics for all four VUCA dimension scores over the full sample and the 2016–2019 baseline period. By construction, baseline means are approximately zero and baseline standard deviations are approximately one for each dimension. Full-sample means depart from zero to the extent that the post-2019 period is systematically more or less turbulent than the baseline. Notably, the full-sample mean of C_score (+0.794 SD) indicates that complexity has been persistently above baseline since 2020, while U_score (−0.396 SD) reflects the fact that the trade war years included in the 2016–2019 baseline represent a period of elevated uncertainty relative to the broader sample average.</w:t>
      </w:r>
    </w:p>
    <w:p>
      <w:pPr>
        <w:spacing w:after="40" w:before="0" w:line="480" w:lineRule="exact"/>
        <w:jc w:val="left"/>
      </w:pPr>
      <w:r>
        <w:rPr>
          <w:rFonts w:ascii="Times New Roman" w:hAnsi="Times New Roman"/>
          <w:b/>
          <w:i/>
          <w:sz w:val="24"/>
        </w:rPr>
        <w:t>4.2 Validation Results</w:t>
      </w:r>
    </w:p>
    <w:p>
      <w:pPr>
        <w:spacing w:after="40" w:before="0" w:line="480" w:lineRule="exact"/>
        <w:jc w:val="left"/>
      </w:pPr>
      <w:r>
        <w:rPr>
          <w:rFonts w:ascii="Times New Roman" w:hAnsi="Times New Roman"/>
          <w:b w:val="0"/>
          <w:i/>
          <w:sz w:val="24"/>
        </w:rPr>
        <w:t>4.2.1 Face Validity</w:t>
      </w:r>
    </w:p>
    <w:p>
      <w:pPr>
        <w:spacing w:after="0" w:before="0" w:line="480" w:lineRule="exact"/>
        <w:jc w:val="left"/>
      </w:pPr>
      <w:r>
        <w:rPr>
          <w:rFonts w:ascii="Times New Roman" w:hAnsi="Times New Roman"/>
          <w:b w:val="0"/>
          <w:i w:val="0"/>
          <w:sz w:val="24"/>
        </w:rPr>
        <w:t>Table 2 reports mean VUCA dimension scores in ±2 month windows around five major structural events. The Volatility dimension performs best on face validity grounds, registering above-baseline values at two of its strongest events: the 2019 trade war escalation (+1.11 SD) and the 2020 COVID-19 onset (+1.68 SD). The Complexity dimension shows its strongest face-valid response during the March 2022 Federal Reserve rate hiking cycle (+2.29 SD), consistent with the interpretation that rapidly rising input costs, land value uncertainty, and credit market tightening jointly increased the dimensionality of farm decision-making environments. Notably, the 2018 tariff announcement window shows Volatility below baseline (−1.66 SD), reflecting the lag between tariff policy announcements and realized sentiment disruption — the larger V response appears in 2019 when trade war escalation intensified.</w:t>
      </w:r>
    </w:p>
    <w:p>
      <w:pPr>
        <w:spacing w:after="0" w:before="0" w:line="480" w:lineRule="exact"/>
        <w:jc w:val="left"/>
      </w:pPr>
      <w:r>
        <w:rPr>
          <w:rFonts w:ascii="Times New Roman" w:hAnsi="Times New Roman"/>
          <w:b w:val="0"/>
          <w:i w:val="0"/>
          <w:sz w:val="24"/>
        </w:rPr>
        <w:t>The Uncertainty and Ambiguity dimensions show more modest event-window responses. For Uncertainty, this reflects in part the composition of the 2016–2019 baseline: because the trade war years (2018–2019) are included in the reference period, the baseline U level already embeds elevated uncertainty, and subsequent shocks must be unusually severe to register as positive deviations. The relatively muted Ambiguity signal likely reflects the difficulty of detecting mixed-signal environments from short-horizon text responses, a limitation we discuss in Section 5.</w:t>
      </w:r>
    </w:p>
    <w:p>
      <w:pPr>
        <w:spacing w:after="40" w:before="0" w:line="480" w:lineRule="exact"/>
        <w:jc w:val="left"/>
      </w:pPr>
      <w:r>
        <w:rPr>
          <w:rFonts w:ascii="Times New Roman" w:hAnsi="Times New Roman"/>
          <w:b w:val="0"/>
          <w:i/>
          <w:sz w:val="24"/>
        </w:rPr>
        <w:t>4.2.2 Convergent Validity</w:t>
      </w:r>
    </w:p>
    <w:p>
      <w:pPr>
        <w:spacing w:after="0" w:before="0" w:line="480" w:lineRule="exact"/>
        <w:jc w:val="left"/>
      </w:pPr>
      <w:r>
        <w:rPr>
          <w:rFonts w:ascii="Times New Roman" w:hAnsi="Times New Roman"/>
          <w:b w:val="0"/>
          <w:i w:val="0"/>
          <w:sz w:val="24"/>
        </w:rPr>
        <w:t>Table 3 presents Pearson and Spearman correlations between each VUCA dimension score and the monthly mean AEB index. The Uncertainty dimension is strongly and negatively correlated with the AEB (Pearson r = -0.758, p &lt; 0.001; Spearman = -0.720, p &lt; 0.001), indicating that months in which farmers express elevated uncertainty about the future are systematically months of lower overall agricultural sentiment. This result is robust to rank-based correlation and is consistent with the interpretation of inverted IFE as an aggregate uncertainty proxy.</w:t>
      </w:r>
    </w:p>
    <w:p>
      <w:pPr>
        <w:spacing w:after="0" w:before="0" w:line="480" w:lineRule="exact"/>
        <w:jc w:val="left"/>
      </w:pPr>
      <w:r>
        <w:rPr>
          <w:rFonts w:ascii="Times New Roman" w:hAnsi="Times New Roman"/>
          <w:b w:val="0"/>
          <w:i w:val="0"/>
          <w:sz w:val="24"/>
        </w:rPr>
        <w:t>The Ambiguity dimension also correlates negatively with the AEB (r = -0.240, p = 0.007), consistent with the theoretical expectation that ambiguous, mixed-signal environments are associated with reduced farm confidence. The Complexity dimension is approximately orthogonal to the AEB (r = -0.069, p = 0.456), which we interpret as reflecting the conceptual independence of complexity from aggregate sentiment: a complex environment is not necessarily a pessimistic one, as was evident during the commodity price boom of 2021 when AEB was elevated alongside high complexity.</w:t>
      </w:r>
    </w:p>
    <w:p>
      <w:pPr>
        <w:spacing w:after="0" w:before="0" w:line="480" w:lineRule="exact"/>
        <w:jc w:val="left"/>
      </w:pPr>
      <w:r>
        <w:rPr>
          <w:rFonts w:ascii="Times New Roman" w:hAnsi="Times New Roman"/>
          <w:b w:val="0"/>
          <w:i w:val="0"/>
          <w:sz w:val="24"/>
        </w:rPr>
        <w:t>The Volatility dimension is positively correlated with the AEB (r = 0.346, p &lt; 0.001). This result, while initially counterintuitive, reflects a feature of agricultural commodity markets: periods of high price volatility often coincide with commodity price rallies, which are associated with elevated farm sentiment. The positive V–AEB correlation therefore captures the asymmetric nature of agricultural price volatility — upside volatility is welcomed by producers — rather than indicating a measurement failure.</w:t>
      </w:r>
    </w:p>
    <w:p>
      <w:pPr>
        <w:spacing w:after="40" w:before="0" w:line="480" w:lineRule="exact"/>
        <w:jc w:val="left"/>
      </w:pPr>
      <w:r>
        <w:rPr>
          <w:rFonts w:ascii="Times New Roman" w:hAnsi="Times New Roman"/>
          <w:b w:val="0"/>
          <w:i/>
          <w:sz w:val="24"/>
        </w:rPr>
        <w:t>4.2.3 Discriminant Validity</w:t>
      </w:r>
    </w:p>
    <w:p>
      <w:pPr>
        <w:spacing w:after="0" w:before="0" w:line="480" w:lineRule="exact"/>
        <w:jc w:val="left"/>
      </w:pPr>
      <w:r>
        <w:rPr>
          <w:rFonts w:ascii="Times New Roman" w:hAnsi="Times New Roman"/>
          <w:b w:val="0"/>
          <w:i w:val="0"/>
          <w:sz w:val="24"/>
        </w:rPr>
        <w:t>Table 4 presents the cross-correlation matrix of the four VUCA dimension scores. All pairwise correlations are moderate (|r|  0.42), and no pair exceeds the conventional threshold of 0.70 that would suggest construct overlap. The largest correlation is between Uncertainty and Complexity (r = -0.418), which is economically interpretable: periods of high uncertainty tend to be characterized by a single dominant narrative (e.g., COVID, trade war), reducing the dimensionality of farmer discourse and therefore reducing measured complexity. Conversely, moderate-uncertainty periods tend to feature a broader range of simultaneous concerns. These results support the conclusion that the four dimensions capture conceptually distinct aspects of agricultural turbulence.</w:t>
      </w:r>
    </w:p>
    <w:p>
      <w:pPr>
        <w:spacing w:after="40" w:before="0" w:line="480" w:lineRule="exact"/>
        <w:jc w:val="left"/>
      </w:pPr>
      <w:r>
        <w:rPr>
          <w:rFonts w:ascii="Times New Roman" w:hAnsi="Times New Roman"/>
          <w:b w:val="0"/>
          <w:i/>
          <w:sz w:val="24"/>
        </w:rPr>
        <w:t>4.2.4 Predictive Validity</w:t>
      </w:r>
    </w:p>
    <w:p>
      <w:pPr>
        <w:spacing w:after="0" w:before="0" w:line="480" w:lineRule="exact"/>
        <w:jc w:val="left"/>
      </w:pPr>
      <w:r>
        <w:rPr>
          <w:rFonts w:ascii="Times New Roman" w:hAnsi="Times New Roman"/>
          <w:b w:val="0"/>
          <w:i w:val="0"/>
          <w:sz w:val="24"/>
        </w:rPr>
        <w:t>Table 5 reports Granger causality test results for each VUCA dimension score against three external agricultural economic indicators from the Creighton University Main Street Economy survey. Stationarity tests indicate that VUCA scores V, U, and A are stationary in levels, while C requires first-differencing; all three external series require first-differencing.</w:t>
      </w:r>
    </w:p>
    <w:p>
      <w:pPr>
        <w:spacing w:after="0" w:before="0" w:line="480" w:lineRule="exact"/>
        <w:jc w:val="left"/>
      </w:pPr>
      <w:r>
        <w:rPr>
          <w:rFonts w:ascii="Times New Roman" w:hAnsi="Times New Roman"/>
          <w:b w:val="0"/>
          <w:i w:val="0"/>
          <w:sz w:val="24"/>
        </w:rPr>
        <w:t>The Volatility dimension exhibits the strongest predictive content, Granger-causing farmland price changes at all four tested lag lengths (all p &lt; 0.05). This result suggests that elevated sentiment volatility among farmers leads land market adjustments by one to four months, consistent with the interpretation that forward-looking land buyers and sellers respond to the informational content of volatility in farmer confidence surveys before farmland price indices reflect those adjustments.</w:t>
      </w:r>
    </w:p>
    <w:p>
      <w:pPr>
        <w:spacing w:after="0" w:before="0" w:line="480" w:lineRule="exact"/>
        <w:jc w:val="left"/>
      </w:pPr>
      <w:r>
        <w:rPr>
          <w:rFonts w:ascii="Times New Roman" w:hAnsi="Times New Roman"/>
          <w:b w:val="0"/>
          <w:i w:val="0"/>
          <w:sz w:val="24"/>
        </w:rPr>
        <w:t>The Ambiguity dimension Granger-causes farm loan volume changes at lags 2 and 4 (p &lt; 0.05) and marginally at lag 3 (p = 0.076). This finding is economically plausible: when farmers face ambiguous signals about future conditions, they defer large capital commitments but may increase operating credit demand as a precautionary buffer, with credit market responses lagging the sentiment signal by approximately two months.</w:t>
      </w:r>
    </w:p>
    <w:p>
      <w:pPr>
        <w:spacing w:after="0" w:before="0" w:line="480" w:lineRule="exact"/>
        <w:jc w:val="left"/>
      </w:pPr>
      <w:r>
        <w:rPr>
          <w:rFonts w:ascii="Times New Roman" w:hAnsi="Times New Roman"/>
          <w:b w:val="0"/>
          <w:i w:val="0"/>
          <w:sz w:val="24"/>
        </w:rPr>
        <w:t>The Uncertainty dimension exhibits marginal Granger causality for farmland prices at lag 1 (p = 0.074), consistent with the idea that aggregate pessimism about the future has a near-term dampening effect on land market activity, though the effect dissipates at longer lags. Neither Complexity nor any VUCA dimension Granger-causes farm equipment sales at conventional significance levels, suggesting that equipment investment decisions respond to longer-horizon or different information sets than those captured by our monthly measures.</w:t>
      </w:r>
    </w:p>
    <w:p>
      <w:pPr>
        <w:spacing w:after="0" w:before="0" w:line="480" w:lineRule="exact"/>
        <w:jc w:val="left"/>
      </w:pPr>
      <w:r>
        <w:rPr>
          <w:rFonts w:ascii="Times New Roman" w:hAnsi="Times New Roman"/>
          <w:b w:val="0"/>
          <w:i w:val="0"/>
          <w:sz w:val="24"/>
        </w:rPr>
        <w:t>Taken together, the predictive validity results indicate that VUCA dimension scores contain economically meaningful leading information for agricultural financial markets, particularly land values and credit demand, beyond what is contained in those series' own histories.</w:t>
      </w:r>
    </w:p>
    <w:p>
      <w:pPr>
        <w:spacing w:after="40" w:before="0" w:line="480" w:lineRule="exact"/>
        <w:jc w:val="left"/>
      </w:pPr>
      <w:r>
        <w:rPr>
          <w:rFonts w:ascii="Times New Roman" w:hAnsi="Times New Roman"/>
          <w:b/>
          <w:i/>
          <w:sz w:val="24"/>
        </w:rPr>
        <w:t>4.3 Robustness</w:t>
      </w:r>
    </w:p>
    <w:p>
      <w:pPr>
        <w:spacing w:after="0" w:before="0" w:line="480" w:lineRule="exact"/>
        <w:jc w:val="left"/>
      </w:pPr>
      <w:r>
        <w:rPr>
          <w:rFonts w:ascii="Times New Roman" w:hAnsi="Times New Roman"/>
          <w:b w:val="0"/>
          <w:i w:val="0"/>
          <w:sz w:val="24"/>
        </w:rPr>
        <w:t>Figure 5 compares the baseline Volatility measure — computed using a 12-month rolling window — against an alternative 6-month window. The two series are positively correlated (Pearson r = 0.746, Spearman = 0.721) but diverge meaningfully at several points in the sample, indicating that the window choice matters for the timing and amplitude of measured volatility spikes. The 12-month window is preferred in the main specification to filter seasonal variation in AEB responses; shorter windows may be preferred in applications where timeliness is prioritized over smoothing. Results based on the 6-month window are qualitatively similar and available upon request.</w:t>
      </w:r>
    </w:p>
    <w:p/>
    <w:p>
      <w:pPr>
        <w:spacing w:after="0" w:before="0" w:line="480" w:lineRule="exact"/>
        <w:jc w:val="left"/>
      </w:pPr>
      <w:r>
        <w:rPr>
          <w:rFonts w:ascii="Times New Roman" w:hAnsi="Times New Roman"/>
          <w:b w:val="0"/>
          <w:i w:val="0"/>
          <w:sz w:val="24"/>
        </w:rPr>
      </w:r>
      <w:r>
        <w:rPr>
          <w:rFonts w:ascii="Times New Roman" w:hAnsi="Times New Roman"/>
          <w:b/>
          <w:i w:val="0"/>
          <w:sz w:val="24"/>
        </w:rPr>
        <w:t>Target:</w:t>
      </w:r>
      <w:r>
        <w:rPr>
          <w:rFonts w:ascii="Times New Roman" w:hAnsi="Times New Roman"/>
          <w:b w:val="0"/>
          <w:i w:val="0"/>
          <w:sz w:val="24"/>
        </w:rPr>
        <w:t xml:space="preserve"> American Journal of Agricultural Economics (AJAE)</w:t>
      </w:r>
    </w:p>
    <w:p>
      <w:pPr>
        <w:spacing w:after="0" w:before="0" w:line="480" w:lineRule="exact"/>
        <w:jc w:val="left"/>
      </w:pPr>
      <w:r>
        <w:rPr>
          <w:rFonts w:ascii="Times New Roman" w:hAnsi="Times New Roman"/>
          <w:b w:val="0"/>
          <w:i w:val="0"/>
          <w:sz w:val="24"/>
        </w:rPr>
      </w:r>
      <w:r>
        <w:rPr>
          <w:rFonts w:ascii="Times New Roman" w:hAnsi="Times New Roman"/>
          <w:b/>
          <w:i w:val="0"/>
          <w:sz w:val="24"/>
        </w:rPr>
        <w:t>Status:</w:t>
      </w:r>
      <w:r>
        <w:rPr>
          <w:rFonts w:ascii="Times New Roman" w:hAnsi="Times New Roman"/>
          <w:b w:val="0"/>
          <w:i w:val="0"/>
          <w:sz w:val="24"/>
        </w:rPr>
        <w:t xml:space="preserve"> Draft v2 — 2026-03-13 (citations filled)</w:t>
      </w:r>
    </w:p>
    <w:p>
      <w:pPr>
        <w:spacing w:after="0" w:before="0" w:line="480" w:lineRule="exact"/>
        <w:jc w:val="left"/>
      </w:pPr>
      <w:r>
        <w:rPr>
          <w:rFonts w:ascii="Times New Roman" w:hAnsi="Times New Roman"/>
          <w:b w:val="0"/>
          <w:i w:val="0"/>
          <w:sz w:val="24"/>
        </w:rPr>
      </w:r>
      <w:r>
        <w:rPr>
          <w:rFonts w:ascii="Times New Roman" w:hAnsi="Times New Roman"/>
          <w:b/>
          <w:i w:val="0"/>
          <w:sz w:val="24"/>
        </w:rPr>
        <w:t>Note:</w:t>
      </w:r>
      <w:r>
        <w:rPr>
          <w:rFonts w:ascii="Times New Roman" w:hAnsi="Times New Roman"/>
          <w:b w:val="0"/>
          <w:i w:val="0"/>
          <w:sz w:val="24"/>
        </w:rPr>
        <w:t xml:space="preserve"> [CHECK] = verify before submission.</w:t>
      </w:r>
    </w:p>
    <w:p>
      <w:pPr>
        <w:spacing w:after="40" w:before="0" w:line="480" w:lineRule="exact"/>
        <w:jc w:val="left"/>
      </w:pPr>
      <w:r>
        <w:rPr>
          <w:rFonts w:ascii="Times New Roman" w:hAnsi="Times New Roman"/>
          <w:b/>
          <w:i w:val="0"/>
          <w:sz w:val="24"/>
        </w:rPr>
        <w:t>5. Discussion and Limitations</w:t>
      </w:r>
    </w:p>
    <w:p>
      <w:pPr>
        <w:spacing w:after="40" w:before="0" w:line="480" w:lineRule="exact"/>
        <w:jc w:val="left"/>
      </w:pPr>
      <w:r>
        <w:rPr>
          <w:rFonts w:ascii="Times New Roman" w:hAnsi="Times New Roman"/>
          <w:b/>
          <w:i/>
          <w:sz w:val="24"/>
        </w:rPr>
        <w:t>5.1 Interpretation of Key Findings</w:t>
      </w:r>
    </w:p>
    <w:p>
      <w:pPr>
        <w:spacing w:after="0" w:before="0" w:line="480" w:lineRule="exact"/>
        <w:jc w:val="left"/>
      </w:pPr>
      <w:r>
        <w:rPr>
          <w:rFonts w:ascii="Times New Roman" w:hAnsi="Times New Roman"/>
          <w:b w:val="0"/>
          <w:i w:val="0"/>
          <w:sz w:val="24"/>
        </w:rPr>
        <w:t>Our results support the core premise of this paper: the VUCA framework captures distinct and economically meaningful dimensions of agricultural turbulence that a single composite sentiment index cannot. Three substantive findings merit particular discussion.</w:t>
      </w:r>
    </w:p>
    <w:p>
      <w:pPr>
        <w:spacing w:after="0" w:before="0" w:line="480" w:lineRule="exact"/>
        <w:jc w:val="left"/>
      </w:pPr>
      <w:r>
        <w:rPr>
          <w:rFonts w:ascii="Times New Roman" w:hAnsi="Times New Roman"/>
          <w:b w:val="0"/>
          <w:i w:val="0"/>
          <w:sz w:val="24"/>
        </w:rPr>
      </w:r>
      <w:r>
        <w:rPr>
          <w:rFonts w:ascii="Times New Roman" w:hAnsi="Times New Roman"/>
          <w:b/>
          <w:i w:val="0"/>
          <w:sz w:val="24"/>
        </w:rPr>
        <w:t>Volatility as a leading indicator of land markets.</w:t>
      </w:r>
      <w:r>
        <w:rPr>
          <w:rFonts w:ascii="Times New Roman" w:hAnsi="Times New Roman"/>
          <w:b w:val="0"/>
          <w:i w:val="0"/>
          <w:sz w:val="24"/>
        </w:rPr>
        <w:t xml:space="preserve"> The finding that our Volatility measure Granger-causes farmland price changes at all four tested lag lengths is, to our knowledge, a novel result. Prior research on farmland price determinants has emphasized capitalization of expected cash rents, interest rates, and macroeconomic fundamentals (Featherstone and Baker, 1987; Moss and Katchova, 2005), but has paid less attention to the informational content of sentiment volatility. Our result suggests that rapid fluctuations in farmer confidence — as captured by the rolling standard deviation of AEB changes — contain forward-looking information that land market participants act upon with a one to four month lag. This is consistent with a model in which farmland buyers and sellers use aggregate sentiment surveys as noisy signals of future agricultural conditions, with land price adjustments following the signal with a delay that reflects market search frictions and transaction costs.</w:t>
      </w:r>
    </w:p>
    <w:p>
      <w:pPr>
        <w:spacing w:after="0" w:before="0" w:line="480" w:lineRule="exact"/>
        <w:jc w:val="left"/>
      </w:pPr>
      <w:r>
        <w:rPr>
          <w:rFonts w:ascii="Times New Roman" w:hAnsi="Times New Roman"/>
          <w:b w:val="0"/>
          <w:i w:val="0"/>
          <w:sz w:val="24"/>
        </w:rPr>
      </w:r>
      <w:r>
        <w:rPr>
          <w:rFonts w:ascii="Times New Roman" w:hAnsi="Times New Roman"/>
          <w:b/>
          <w:i w:val="0"/>
          <w:sz w:val="24"/>
        </w:rPr>
        <w:t>Ambiguity and farm credit demand.</w:t>
      </w:r>
      <w:r>
        <w:rPr>
          <w:rFonts w:ascii="Times New Roman" w:hAnsi="Times New Roman"/>
          <w:b w:val="0"/>
          <w:i w:val="0"/>
          <w:sz w:val="24"/>
        </w:rPr>
        <w:t xml:space="preserve"> The finding that our Ambiguity measure leads farm loan volume by approximately two months offers a plausible mechanism: when farmers receive mixed signals about future conditions — evidenced by both polarity conflict in their open-ended responses and distributional bimodality in their structured AEB scores — they may defer productive investment while increasing operating credit as a precautionary buffer. This interpretation is consistent with the real options literature on investment under uncertainty (Dixit and Pindyck, 1994), extended here to a context of genuine ambiguity rather than quantified risk.</w:t>
      </w:r>
    </w:p>
    <w:p>
      <w:pPr>
        <w:spacing w:after="0" w:before="0" w:line="480" w:lineRule="exact"/>
        <w:jc w:val="left"/>
      </w:pPr>
      <w:r>
        <w:rPr>
          <w:rFonts w:ascii="Times New Roman" w:hAnsi="Times New Roman"/>
          <w:b w:val="0"/>
          <w:i w:val="0"/>
          <w:sz w:val="24"/>
        </w:rPr>
      </w:r>
      <w:r>
        <w:rPr>
          <w:rFonts w:ascii="Times New Roman" w:hAnsi="Times New Roman"/>
          <w:b/>
          <w:i w:val="0"/>
          <w:sz w:val="24"/>
        </w:rPr>
        <w:t>The complexity of 2021–2022.</w:t>
      </w:r>
      <w:r>
        <w:rPr>
          <w:rFonts w:ascii="Times New Roman" w:hAnsi="Times New Roman"/>
          <w:b w:val="0"/>
          <w:i w:val="0"/>
          <w:sz w:val="24"/>
        </w:rPr>
        <w:t xml:space="preserve"> The sharp rise in our Complexity measure during 2021–2022 reflects a genuinely unusual period in which farmers simultaneously navigated commodity price surges, tripling fertilizer costs, equipment supply shortages, and tightening credit markets. That our LDA-based complexity measure — which captures the dimensionality of the topic space in farmers' text responses — rises sharply in this period, while the AEB itself remained relatively elevated, illustrates the value of decomposing sentiment: the 2021–2022 period was simultaneously "good" (high commodity prices, high AEB) and "complex" (an unusually multidimensional operating environment), a distinction lost in a single composite index.</w:t>
      </w:r>
    </w:p>
    <w:p>
      <w:pPr>
        <w:spacing w:after="40" w:before="0" w:line="480" w:lineRule="exact"/>
        <w:jc w:val="left"/>
      </w:pPr>
      <w:r>
        <w:rPr>
          <w:rFonts w:ascii="Times New Roman" w:hAnsi="Times New Roman"/>
          <w:b/>
          <w:i/>
          <w:sz w:val="24"/>
        </w:rPr>
        <w:t>5.2 Limitations</w:t>
      </w:r>
    </w:p>
    <w:p>
      <w:pPr>
        <w:spacing w:after="0" w:before="0" w:line="480" w:lineRule="exact"/>
        <w:jc w:val="left"/>
      </w:pPr>
      <w:r>
        <w:rPr>
          <w:rFonts w:ascii="Times New Roman" w:hAnsi="Times New Roman"/>
          <w:b w:val="0"/>
          <w:i w:val="0"/>
          <w:sz w:val="24"/>
        </w:rPr>
        <w:t>Several limitations of this study warrant acknowledgment.</w:t>
      </w:r>
    </w:p>
    <w:p>
      <w:pPr>
        <w:spacing w:after="0" w:before="0" w:line="480" w:lineRule="exact"/>
        <w:jc w:val="left"/>
      </w:pPr>
      <w:r>
        <w:rPr>
          <w:rFonts w:ascii="Times New Roman" w:hAnsi="Times New Roman"/>
          <w:b w:val="0"/>
          <w:i w:val="0"/>
          <w:sz w:val="24"/>
        </w:rPr>
      </w:r>
      <w:r>
        <w:rPr>
          <w:rFonts w:ascii="Times New Roman" w:hAnsi="Times New Roman"/>
          <w:b/>
          <w:i w:val="0"/>
          <w:sz w:val="24"/>
        </w:rPr>
        <w:t>Baseline period sensitivity.</w:t>
      </w:r>
      <w:r>
        <w:rPr>
          <w:rFonts w:ascii="Times New Roman" w:hAnsi="Times New Roman"/>
          <w:b w:val="0"/>
          <w:i w:val="0"/>
          <w:sz w:val="24"/>
        </w:rPr>
        <w:t xml:space="preserve"> Our standardization protocol anchors all VUCA scores to a 2016–2019 baseline. This period includes the onset of the U.S.–China trade war (2018–2019), which means our baseline already embeds elevated uncertainty. As a result, the Uncertainty dimension tends to register negative values for much of the post-2019 sample — not because farmers became less uncertain, but because the reference level is already high. Future work should explore alternative baseline periods, such as 2015–2017, and assess the sensitivity of key results to this choice.</w:t>
      </w:r>
    </w:p>
    <w:p>
      <w:pPr>
        <w:spacing w:after="0" w:before="0" w:line="480" w:lineRule="exact"/>
        <w:jc w:val="left"/>
      </w:pPr>
      <w:r>
        <w:rPr>
          <w:rFonts w:ascii="Times New Roman" w:hAnsi="Times New Roman"/>
          <w:b w:val="0"/>
          <w:i w:val="0"/>
          <w:sz w:val="24"/>
        </w:rPr>
      </w:r>
      <w:r>
        <w:rPr>
          <w:rFonts w:ascii="Times New Roman" w:hAnsi="Times New Roman"/>
          <w:b/>
          <w:i w:val="0"/>
          <w:sz w:val="24"/>
        </w:rPr>
        <w:t>Ambiguity signal strength.</w:t>
      </w:r>
      <w:r>
        <w:rPr>
          <w:rFonts w:ascii="Times New Roman" w:hAnsi="Times New Roman"/>
          <w:b w:val="0"/>
          <w:i w:val="0"/>
          <w:sz w:val="24"/>
        </w:rPr>
        <w:t xml:space="preserve"> The Ambiguity dimension exhibits weaker event-window responses than the other three dimensions. This likely reflects two sources of measurement limitation. First, the polarity conflict rate and ambiguity phrase rate rely on relatively short open-ended responses, which may not provide sufficient text for reliable mixed-signal detection. Second, the ambiguity phrase dictionary is constructed from general English hedging expressions; agricultural-domain hedging language may differ in ways not captured by our current dictionary. Future work could develop a domain-specific ambiguity lexicon using supervised learning approaches (e.g., Loughran and McDonald, 2011, for domain-adapted financial lexicons).</w:t>
      </w:r>
    </w:p>
    <w:p>
      <w:pPr>
        <w:spacing w:after="0" w:before="0" w:line="480" w:lineRule="exact"/>
        <w:jc w:val="left"/>
      </w:pPr>
      <w:r>
        <w:rPr>
          <w:rFonts w:ascii="Times New Roman" w:hAnsi="Times New Roman"/>
          <w:b w:val="0"/>
          <w:i w:val="0"/>
          <w:sz w:val="24"/>
        </w:rPr>
      </w:r>
      <w:r>
        <w:rPr>
          <w:rFonts w:ascii="Times New Roman" w:hAnsi="Times New Roman"/>
          <w:b/>
          <w:i w:val="0"/>
          <w:sz w:val="24"/>
        </w:rPr>
        <w:t>Text response coverage.</w:t>
      </w:r>
      <w:r>
        <w:rPr>
          <w:rFonts w:ascii="Times New Roman" w:hAnsi="Times New Roman"/>
          <w:b w:val="0"/>
          <w:i w:val="0"/>
          <w:sz w:val="24"/>
        </w:rPr>
        <w:t xml:space="preserve"> The open-ended text responses used for our text-based measures are available only for the subset of AEB respondents who choose to provide them. If text-response propensity is correlated with sentiment or farm characteristics, our text-based measures may not be representative of the full survey population. We do not have access to respondent-level covariates that would allow a formal assessment of text-response selection.</w:t>
      </w:r>
    </w:p>
    <w:p>
      <w:pPr>
        <w:spacing w:after="0" w:before="0" w:line="480" w:lineRule="exact"/>
        <w:jc w:val="left"/>
      </w:pPr>
      <w:r>
        <w:rPr>
          <w:rFonts w:ascii="Times New Roman" w:hAnsi="Times New Roman"/>
          <w:b w:val="0"/>
          <w:i w:val="0"/>
          <w:sz w:val="24"/>
        </w:rPr>
      </w:r>
      <w:r>
        <w:rPr>
          <w:rFonts w:ascii="Times New Roman" w:hAnsi="Times New Roman"/>
          <w:b/>
          <w:i w:val="0"/>
          <w:sz w:val="24"/>
        </w:rPr>
        <w:t>Statistical power of the Hartigan dip test.</w:t>
      </w:r>
      <w:r>
        <w:rPr>
          <w:rFonts w:ascii="Times New Roman" w:hAnsi="Times New Roman"/>
          <w:b w:val="0"/>
          <w:i w:val="0"/>
          <w:sz w:val="24"/>
        </w:rPr>
        <w:t xml:space="preserve"> The Hartigan dip test for bimodality (Hartigan and Hartigan, 1985), used in our Ambiguity measure, has low power when monthly response counts fall below approximately 50. We flag these months in our diagnostic output and exclude them from the bimodality component of the Ambiguity measure. Approximately [CHECK: N] months fall below this threshold, concentrated in the early sample (2015–2016) when the AEB panel was still building.</w:t>
      </w:r>
    </w:p>
    <w:p>
      <w:pPr>
        <w:spacing w:after="0" w:before="0" w:line="480" w:lineRule="exact"/>
        <w:jc w:val="left"/>
      </w:pPr>
      <w:r>
        <w:rPr>
          <w:rFonts w:ascii="Times New Roman" w:hAnsi="Times New Roman"/>
          <w:b w:val="0"/>
          <w:i w:val="0"/>
          <w:sz w:val="24"/>
        </w:rPr>
      </w:r>
      <w:r>
        <w:rPr>
          <w:rFonts w:ascii="Times New Roman" w:hAnsi="Times New Roman"/>
          <w:b/>
          <w:i w:val="0"/>
          <w:sz w:val="24"/>
        </w:rPr>
        <w:t>External validation scope.</w:t>
      </w:r>
      <w:r>
        <w:rPr>
          <w:rFonts w:ascii="Times New Roman" w:hAnsi="Times New Roman"/>
          <w:b w:val="0"/>
          <w:i w:val="0"/>
          <w:sz w:val="24"/>
        </w:rPr>
        <w:t xml:space="preserve"> Our predictive validity tests use three indicators from a single external survey (Creighton Main Street Economy). While these series span a broad set of agricultural financial outcomes, they are also diffusion indices subject to similar measurement limitations as the AEB itself. Future validation work should incorporate hard data — realized farmland transaction prices, call report farm loan volumes, USDA machinery sales — to provide a more rigorous test of predictive content.</w:t>
      </w:r>
    </w:p>
    <w:p>
      <w:pPr>
        <w:spacing w:after="0" w:before="0" w:line="480" w:lineRule="exact"/>
        <w:jc w:val="left"/>
      </w:pPr>
      <w:r>
        <w:rPr>
          <w:rFonts w:ascii="Times New Roman" w:hAnsi="Times New Roman"/>
          <w:b w:val="0"/>
          <w:i w:val="0"/>
          <w:sz w:val="24"/>
        </w:rPr>
      </w:r>
      <w:r>
        <w:rPr>
          <w:rFonts w:ascii="Times New Roman" w:hAnsi="Times New Roman"/>
          <w:b/>
          <w:i w:val="0"/>
          <w:sz w:val="24"/>
        </w:rPr>
        <w:t>Granger causality and structural inference.</w:t>
      </w:r>
      <w:r>
        <w:rPr>
          <w:rFonts w:ascii="Times New Roman" w:hAnsi="Times New Roman"/>
          <w:b w:val="0"/>
          <w:i w:val="0"/>
          <w:sz w:val="24"/>
        </w:rPr>
        <w:t xml:space="preserve"> Granger causality tests establish predictive precedence, not structural causation (Sims, 1980). Our finding that Volatility Granger-causes farmland prices does not establish that sentiment volatility causes land price changes; it establishes only that lagged Volatility scores contain information about future land price movements not captured by the land price series itself. Establishing structural causation would require an identification strategy beyond the scope of the current paper.</w:t>
      </w:r>
    </w:p>
    <w:p/>
    <w:p>
      <w:pPr>
        <w:spacing w:after="40" w:before="0" w:line="480" w:lineRule="exact"/>
        <w:jc w:val="left"/>
      </w:pPr>
      <w:r>
        <w:rPr>
          <w:rFonts w:ascii="Times New Roman" w:hAnsi="Times New Roman"/>
          <w:b/>
          <w:i w:val="0"/>
          <w:sz w:val="24"/>
        </w:rPr>
        <w:t>6. Conclusion</w:t>
      </w:r>
    </w:p>
    <w:p>
      <w:pPr>
        <w:spacing w:after="0" w:before="0" w:line="480" w:lineRule="exact"/>
        <w:jc w:val="left"/>
      </w:pPr>
      <w:r>
        <w:rPr>
          <w:rFonts w:ascii="Times New Roman" w:hAnsi="Times New Roman"/>
          <w:b w:val="0"/>
          <w:i w:val="0"/>
          <w:sz w:val="24"/>
        </w:rPr>
        <w:t>This paper develops and validates the first VUCA-based decomposition of agricultural producer sentiment, using nine years of individual-level microdata from the Purdue University/CME Group Ag Economy Barometer. Our four dimension scores — Volatility, Uncertainty, Complexity, and Ambiguity — are constructed from a combination of structured survey indices and open-ended text responses, standardized against a pre-shock baseline period, and validated against both internal AEB measures and external agricultural economic indicators.</w:t>
      </w:r>
    </w:p>
    <w:p>
      <w:pPr>
        <w:spacing w:after="0" w:before="0" w:line="480" w:lineRule="exact"/>
        <w:jc w:val="left"/>
      </w:pPr>
      <w:r>
        <w:rPr>
          <w:rFonts w:ascii="Times New Roman" w:hAnsi="Times New Roman"/>
          <w:b w:val="0"/>
          <w:i w:val="0"/>
          <w:sz w:val="24"/>
        </w:rPr>
        <w:t>Several conclusions emerge from our analysis. First, the VUCA dimensions are statistically and economically distinct: cross-dimension correlations are moderate, and each dimension exhibits different patterns of elevation across major agricultural shocks. Second, our measures carry forward-looking information not contained in the composite AEB index: Volatility Granger-causes farmland price changes, and Ambiguity leads farm credit demand, at economically meaningful lag lengths. Third, the 2021–2022 period stands out as an episode of exceptionally high Complexity — a multidimensional operating environment characterized by simultaneous commodity price surges, input cost inflation, and supply chain disruption — that would have been indistinguishable from a simple "high sentiment" reading in the composite AEB index alone.</w:t>
      </w:r>
    </w:p>
    <w:p>
      <w:pPr>
        <w:spacing w:after="0" w:before="0" w:line="480" w:lineRule="exact"/>
        <w:jc w:val="left"/>
      </w:pPr>
      <w:r>
        <w:rPr>
          <w:rFonts w:ascii="Times New Roman" w:hAnsi="Times New Roman"/>
          <w:b w:val="0"/>
          <w:i w:val="0"/>
          <w:sz w:val="24"/>
        </w:rPr>
        <w:t>These findings suggest several avenues for future research. The VUCA framework could be extended to longer panel surveys, quarterly Farm Business Survey data, or international agricultural sentiment indices to assess its generalizability across production systems and policy environments. The Granger causality results, particularly for Volatility and farmland prices, warrant further investigation using structural VAR methods and, where possible, hard administrative data on land transactions. The Ambiguity dimension, which exhibited the weakest measurement performance in the current study, may benefit from domain-adapted lexicons and longer text response formats that enable more reliable detection of mixed-signal environments.</w:t>
      </w:r>
    </w:p>
    <w:p>
      <w:pPr>
        <w:spacing w:after="0" w:before="0" w:line="480" w:lineRule="exact"/>
        <w:jc w:val="left"/>
      </w:pPr>
      <w:r>
        <w:rPr>
          <w:rFonts w:ascii="Times New Roman" w:hAnsi="Times New Roman"/>
          <w:b w:val="0"/>
          <w:i w:val="0"/>
          <w:sz w:val="24"/>
        </w:rPr>
        <w:t>More broadly, our results argue for moving beyond single-index characterizations of agricultural producer sentiment. When farm confidence declines, the policy-relevant question is not only "how much" but "why" — whether the deterioration reflects rapid change (Volatility), opaque futures (Uncertainty), simultaneous pressures (Complexity), or contradictory signals (Ambiguity). Each dimension has different implications for policy response, and our VUCA measures provide the empirical foundation for making these distinctions.</w:t>
      </w:r>
    </w:p>
    <w:p/>
    <w:p>
      <w:r>
        <w:br w:type="page"/>
      </w:r>
    </w:p>
    <w:p>
      <w:pPr>
        <w:spacing w:after="40" w:before="0" w:line="480" w:lineRule="exact"/>
        <w:jc w:val="left"/>
      </w:pPr>
      <w:r>
        <w:rPr>
          <w:rFonts w:ascii="Times New Roman" w:hAnsi="Times New Roman"/>
          <w:b/>
          <w:i w:val="0"/>
          <w:sz w:val="24"/>
        </w:rPr>
        <w:t>References</w:t>
      </w:r>
    </w:p>
    <w:p>
      <w:pPr>
        <w:spacing w:after="80" w:before="0" w:line="480" w:lineRule="exact"/>
        <w:jc w:val="left"/>
      </w:pPr>
      <w:r>
        <w:rPr>
          <w:rFonts w:ascii="Times New Roman" w:hAnsi="Times New Roman"/>
          <w:b w:val="0"/>
          <w:i w:val="0"/>
          <w:sz w:val="24"/>
        </w:rPr>
        <w:t>Baker, S.R., Bloom, N. and Davis, S.J. (2016). Measuring Economic Policy Uncertainty. Quarterly Journal of Economics 131(4): 1593–1636.</w:t>
      </w:r>
    </w:p>
    <w:p/>
    <w:p>
      <w:pPr>
        <w:spacing w:after="80" w:before="0" w:line="480" w:lineRule="exact"/>
        <w:jc w:val="left"/>
      </w:pPr>
      <w:r>
        <w:rPr>
          <w:rFonts w:ascii="Times New Roman" w:hAnsi="Times New Roman"/>
          <w:b w:val="0"/>
          <w:i w:val="0"/>
          <w:sz w:val="24"/>
        </w:rPr>
        <w:t>Baran, B.E. and Woznyj, H.M. (2020). Managing VUCA: The Human Dynamics of Agility. Organizational Dynamics 49(2): 100787.</w:t>
      </w:r>
    </w:p>
    <w:p/>
    <w:p>
      <w:pPr>
        <w:spacing w:after="80" w:before="0" w:line="480" w:lineRule="exact"/>
        <w:jc w:val="left"/>
      </w:pPr>
      <w:r>
        <w:rPr>
          <w:rFonts w:ascii="Times New Roman" w:hAnsi="Times New Roman"/>
          <w:b w:val="0"/>
          <w:i w:val="0"/>
          <w:sz w:val="24"/>
        </w:rPr>
        <w:t>Bennett, N. and Lemoine, G.J. (2014). What a Difference a Word Makes: Understanding Threats to Performance in a VUCA World. Business Horizons 57(3): 311–317.</w:t>
      </w:r>
    </w:p>
    <w:p/>
    <w:p>
      <w:pPr>
        <w:spacing w:after="80" w:before="0" w:line="480" w:lineRule="exact"/>
        <w:jc w:val="left"/>
      </w:pPr>
      <w:r>
        <w:rPr>
          <w:rFonts w:ascii="Times New Roman" w:hAnsi="Times New Roman"/>
          <w:b w:val="0"/>
          <w:i w:val="0"/>
          <w:sz w:val="24"/>
        </w:rPr>
        <w:t>Bennis, W.G. and Nanus, B. (1985). Leaders: The Strategies for Taking Charge. Harper &amp; Row.</w:t>
      </w:r>
    </w:p>
    <w:p/>
    <w:p>
      <w:pPr>
        <w:spacing w:after="80" w:before="0" w:line="480" w:lineRule="exact"/>
        <w:jc w:val="left"/>
      </w:pPr>
      <w:r>
        <w:rPr>
          <w:rFonts w:ascii="Times New Roman" w:hAnsi="Times New Roman"/>
          <w:b w:val="0"/>
          <w:i w:val="0"/>
          <w:sz w:val="24"/>
        </w:rPr>
        <w:t>Birru, J. and Young, T. (2023). The Real Effects of Sentiment and Uncertainty. Working Paper, Fisher College of Business, Ohio State University.</w:t>
      </w:r>
    </w:p>
    <w:p/>
    <w:p>
      <w:pPr>
        <w:spacing w:after="80" w:before="0" w:line="480" w:lineRule="exact"/>
        <w:jc w:val="left"/>
      </w:pPr>
      <w:r>
        <w:rPr>
          <w:rFonts w:ascii="Times New Roman" w:hAnsi="Times New Roman"/>
          <w:b w:val="0"/>
          <w:i w:val="0"/>
          <w:sz w:val="24"/>
        </w:rPr>
        <w:t>Blei, D.M., Ng, A.Y. and Jordan, M.I. (2003). Latent Dirichlet Allocation. Journal of Machine Learning Research 3: 993–1022.</w:t>
      </w:r>
    </w:p>
    <w:p/>
    <w:p>
      <w:pPr>
        <w:spacing w:after="80" w:before="0" w:line="480" w:lineRule="exact"/>
        <w:jc w:val="left"/>
      </w:pPr>
      <w:r>
        <w:rPr>
          <w:rFonts w:ascii="Times New Roman" w:hAnsi="Times New Roman"/>
          <w:b w:val="0"/>
          <w:i w:val="0"/>
          <w:sz w:val="24"/>
        </w:rPr>
        <w:t>Curtin, R. (2007). Consumer Sentiment Surveys: Worldwide Review and Assessment. Journal of Business Cycle Measurement and Analysis 2007(1). [CHECK: confirm exact reference]</w:t>
      </w:r>
    </w:p>
    <w:p/>
    <w:p>
      <w:pPr>
        <w:spacing w:after="80" w:before="0" w:line="480" w:lineRule="exact"/>
        <w:jc w:val="left"/>
      </w:pPr>
      <w:r>
        <w:rPr>
          <w:rFonts w:ascii="Times New Roman" w:hAnsi="Times New Roman"/>
          <w:b w:val="0"/>
          <w:i w:val="0"/>
          <w:sz w:val="24"/>
        </w:rPr>
        <w:t>Dixit, A.K. and Pindyck, R.S. (1994). Investment under Uncertainty. Princeton University Press.</w:t>
      </w:r>
    </w:p>
    <w:p/>
    <w:p>
      <w:pPr>
        <w:spacing w:after="80" w:before="0" w:line="480" w:lineRule="exact"/>
        <w:jc w:val="left"/>
      </w:pPr>
      <w:r>
        <w:rPr>
          <w:rFonts w:ascii="Times New Roman" w:hAnsi="Times New Roman"/>
          <w:b w:val="0"/>
          <w:i w:val="0"/>
          <w:sz w:val="24"/>
        </w:rPr>
        <w:t>Ellsberg, D. (1961). Risk, Ambiguity, and the Savage Axioms. Quarterly Journal of Economics 75(4): 643–669.</w:t>
      </w:r>
    </w:p>
    <w:p/>
    <w:p>
      <w:pPr>
        <w:spacing w:after="80" w:before="0" w:line="480" w:lineRule="exact"/>
        <w:jc w:val="left"/>
      </w:pPr>
      <w:r>
        <w:rPr>
          <w:rFonts w:ascii="Times New Roman" w:hAnsi="Times New Roman"/>
          <w:b w:val="0"/>
          <w:i w:val="0"/>
          <w:sz w:val="24"/>
        </w:rPr>
        <w:t>Featherstone, A.M. and Baker, T.G. (1987). An Examination of Farm Sector Real Asset Dynamics. American Journal of Agricultural Economics 69(3): 532–546.</w:t>
      </w:r>
    </w:p>
    <w:p/>
    <w:p>
      <w:pPr>
        <w:spacing w:after="80" w:before="0" w:line="480" w:lineRule="exact"/>
        <w:jc w:val="left"/>
      </w:pPr>
      <w:r>
        <w:rPr>
          <w:rFonts w:ascii="Times New Roman" w:hAnsi="Times New Roman"/>
          <w:b w:val="0"/>
          <w:i w:val="0"/>
          <w:sz w:val="24"/>
        </w:rPr>
        <w:t>Fridgeirsson, T.V., Kristjansdottir, B.H. and Ingason, H.T. (2021). An Alternative Risk Assessment Routine for Decision Making; Towards a VUCA Meter. In R. Cuevas, C.-N. Bodea, &amp; P. Torres-Lima (Eds.), Research on Project, Programme and Portfolio Management (pp. 41–54). Springer.</w:t>
      </w:r>
    </w:p>
    <w:p/>
    <w:p>
      <w:pPr>
        <w:spacing w:after="80" w:before="0" w:line="480" w:lineRule="exact"/>
        <w:jc w:val="left"/>
      </w:pPr>
      <w:r>
        <w:rPr>
          <w:rFonts w:ascii="Times New Roman" w:hAnsi="Times New Roman"/>
          <w:b w:val="0"/>
          <w:i w:val="0"/>
          <w:sz w:val="24"/>
        </w:rPr>
        <w:t>Gentzkow, M., Kelly, B. and Taddy, M. (2019). Text as Data. Journal of Economic Literature 57(3): 535–574.</w:t>
      </w:r>
    </w:p>
    <w:p/>
    <w:p>
      <w:pPr>
        <w:spacing w:after="80" w:before="0" w:line="480" w:lineRule="exact"/>
        <w:jc w:val="left"/>
      </w:pPr>
      <w:r>
        <w:rPr>
          <w:rFonts w:ascii="Times New Roman" w:hAnsi="Times New Roman"/>
          <w:b w:val="0"/>
          <w:i w:val="0"/>
          <w:sz w:val="24"/>
        </w:rPr>
        <w:t>Goss, E. and Natvig, B. (2023). Creighton University Rural Mainstreet Economy Survey. [CHECK: confirm exact citation format]</w:t>
      </w:r>
    </w:p>
    <w:p/>
    <w:p>
      <w:pPr>
        <w:spacing w:after="80" w:before="0" w:line="480" w:lineRule="exact"/>
        <w:jc w:val="left"/>
      </w:pPr>
      <w:r>
        <w:rPr>
          <w:rFonts w:ascii="Times New Roman" w:hAnsi="Times New Roman"/>
          <w:b w:val="0"/>
          <w:i w:val="0"/>
          <w:sz w:val="24"/>
        </w:rPr>
        <w:t>Granger, C.W.J. (1969). Investigating Causal Relations by Econometric Models and Cross-Spectral Methods. Econometrica 37(3): 424–438.</w:t>
      </w:r>
    </w:p>
    <w:p/>
    <w:p>
      <w:pPr>
        <w:spacing w:after="80" w:before="0" w:line="480" w:lineRule="exact"/>
        <w:jc w:val="left"/>
      </w:pPr>
      <w:r>
        <w:rPr>
          <w:rFonts w:ascii="Times New Roman" w:hAnsi="Times New Roman"/>
          <w:b w:val="0"/>
          <w:i w:val="0"/>
          <w:sz w:val="24"/>
        </w:rPr>
        <w:t>Hartigan, J.A. and Hartigan, P.M. (1985). The Dip Test of Unimodality. Annals of Statistics 13(1): 70–84.</w:t>
      </w:r>
    </w:p>
    <w:p/>
    <w:p>
      <w:pPr>
        <w:spacing w:after="80" w:before="0" w:line="480" w:lineRule="exact"/>
        <w:jc w:val="left"/>
      </w:pPr>
      <w:r>
        <w:rPr>
          <w:rFonts w:ascii="Times New Roman" w:hAnsi="Times New Roman"/>
          <w:b w:val="0"/>
          <w:i w:val="0"/>
          <w:sz w:val="24"/>
        </w:rPr>
        <w:t>Knight, F.H. (1921). Risk, Uncertainty and Profit. Houghton Mifflin.</w:t>
      </w:r>
    </w:p>
    <w:p/>
    <w:p>
      <w:pPr>
        <w:spacing w:after="80" w:before="0" w:line="480" w:lineRule="exact"/>
        <w:jc w:val="left"/>
      </w:pPr>
      <w:r>
        <w:rPr>
          <w:rFonts w:ascii="Times New Roman" w:hAnsi="Times New Roman"/>
          <w:b w:val="0"/>
          <w:i w:val="0"/>
          <w:sz w:val="24"/>
        </w:rPr>
        <w:t>Leduc, S. and Liu, Z. (2016). Uncertainty Shocks Are Aggregate Demand Shocks. Journal of Monetary Economics 82: 20–35. [CHECK: confirm this is the right Leduc/Liu paper]</w:t>
      </w:r>
    </w:p>
    <w:p/>
    <w:p>
      <w:pPr>
        <w:spacing w:after="80" w:before="0" w:line="480" w:lineRule="exact"/>
        <w:jc w:val="left"/>
      </w:pPr>
      <w:r>
        <w:rPr>
          <w:rFonts w:ascii="Times New Roman" w:hAnsi="Times New Roman"/>
          <w:b w:val="0"/>
          <w:i w:val="0"/>
          <w:sz w:val="24"/>
        </w:rPr>
        <w:t>Lippsmeyer, M., Langemeier, M., Mintert, J. and Thompson, N. (2024). Factors Influencing Producer Sentiment. Journal of ASFMRA 2024: 58–70.</w:t>
      </w:r>
    </w:p>
    <w:p/>
    <w:p>
      <w:pPr>
        <w:spacing w:after="80" w:before="0" w:line="480" w:lineRule="exact"/>
        <w:jc w:val="left"/>
      </w:pPr>
      <w:r>
        <w:rPr>
          <w:rFonts w:ascii="Times New Roman" w:hAnsi="Times New Roman"/>
          <w:b w:val="0"/>
          <w:i w:val="0"/>
          <w:sz w:val="24"/>
        </w:rPr>
        <w:t>Loughran, T. and McDonald, B. (2011). When Is a Liability Not a Liability? Textual Analysis, Dictionaries, and 10-Ks. Journal of Finance 66(1): 35–65.</w:t>
      </w:r>
    </w:p>
    <w:p/>
    <w:p>
      <w:pPr>
        <w:spacing w:after="80" w:before="0" w:line="480" w:lineRule="exact"/>
        <w:jc w:val="left"/>
      </w:pPr>
      <w:r>
        <w:rPr>
          <w:rFonts w:ascii="Times New Roman" w:hAnsi="Times New Roman"/>
          <w:b w:val="0"/>
          <w:i w:val="0"/>
          <w:sz w:val="24"/>
        </w:rPr>
        <w:t>Mintert, J. and Widmar, D.A. (2016). Purdue University/CME Group Ag Economy Barometer. [CHECK: confirm exact working paper/report citation]</w:t>
      </w:r>
    </w:p>
    <w:p/>
    <w:p>
      <w:pPr>
        <w:spacing w:after="80" w:before="0" w:line="480" w:lineRule="exact"/>
        <w:jc w:val="left"/>
      </w:pPr>
      <w:r>
        <w:rPr>
          <w:rFonts w:ascii="Times New Roman" w:hAnsi="Times New Roman"/>
          <w:b w:val="0"/>
          <w:i w:val="0"/>
          <w:sz w:val="24"/>
        </w:rPr>
        <w:t>Moss, C.B. and Katchova, A.L. (2005). Farmland Valuation and Asset Performance. Agricultural Finance Review 65(1): 119–130. [CHECK: confirm exact year/journal]</w:t>
      </w:r>
    </w:p>
    <w:p/>
    <w:p>
      <w:pPr>
        <w:spacing w:after="80" w:before="0" w:line="480" w:lineRule="exact"/>
        <w:jc w:val="left"/>
      </w:pPr>
      <w:r>
        <w:rPr>
          <w:rFonts w:ascii="Times New Roman" w:hAnsi="Times New Roman"/>
          <w:b w:val="0"/>
          <w:i w:val="0"/>
          <w:sz w:val="24"/>
        </w:rPr>
        <w:t>Nowzohour, L. and Stracca, L. (2020). More Than a Feeling: Confidence, Uncertainty, and Macroeconomic Fluctuations. Journal of Economic Surveys 34(4): 1–36.</w:t>
      </w:r>
    </w:p>
    <w:p/>
    <w:p>
      <w:pPr>
        <w:spacing w:after="80" w:before="0" w:line="480" w:lineRule="exact"/>
        <w:jc w:val="left"/>
      </w:pPr>
      <w:r>
        <w:rPr>
          <w:rFonts w:ascii="Times New Roman" w:hAnsi="Times New Roman"/>
          <w:b w:val="0"/>
          <w:i w:val="0"/>
          <w:sz w:val="24"/>
        </w:rPr>
        <w:t>Patnaik, S. (2020). Applied Machine Learning and Management of Volatility, Uncertainty, Complexity &amp; Ambiguity (V.U.C.A). Journal of Intelligent &amp; Fuzzy Systems. https://journals.sagepub.com/doi/full/10.3233/JIFS-179915</w:t>
      </w:r>
    </w:p>
    <w:p/>
    <w:p>
      <w:pPr>
        <w:spacing w:after="80" w:before="0" w:line="480" w:lineRule="exact"/>
        <w:jc w:val="left"/>
      </w:pPr>
      <w:r>
        <w:rPr>
          <w:rFonts w:ascii="Times New Roman" w:hAnsi="Times New Roman"/>
          <w:b w:val="0"/>
          <w:i w:val="0"/>
          <w:sz w:val="24"/>
        </w:rPr>
        <w:t>Rzepczynski, M.S. (2025). Clarifying the Assessment of Risk: VUCA (Volatility, Uncertainty, Complexity, and Ambiguity). SSRN Working Paper No. 5217110.</w:t>
      </w:r>
    </w:p>
    <w:p/>
    <w:p>
      <w:pPr>
        <w:spacing w:after="80" w:before="0" w:line="480" w:lineRule="exact"/>
        <w:jc w:val="left"/>
      </w:pPr>
      <w:r>
        <w:rPr>
          <w:rFonts w:ascii="Times New Roman" w:hAnsi="Times New Roman"/>
          <w:b w:val="0"/>
          <w:i w:val="0"/>
          <w:sz w:val="24"/>
        </w:rPr>
        <w:t>Sims, C.A. (1980). Macroeconomics and Reality. Econometrica 48(1): 1–48.</w:t>
      </w:r>
    </w:p>
    <w:p/>
    <w:p>
      <w:pPr>
        <w:spacing w:after="80" w:before="0" w:line="480" w:lineRule="exact"/>
        <w:jc w:val="left"/>
      </w:pPr>
      <w:r>
        <w:rPr>
          <w:rFonts w:ascii="Times New Roman" w:hAnsi="Times New Roman"/>
          <w:b w:val="0"/>
          <w:i w:val="0"/>
          <w:sz w:val="24"/>
        </w:rPr>
        <w:t>[CHECK: Add — "Being Affected By VUCA Factors? Developing The Perceived VUCA Exposure Scale" — find full citation]</w:t>
      </w:r>
    </w:p>
    <w:p>
      <w:pPr>
        <w:spacing w:after="80" w:before="0" w:line="480" w:lineRule="exact"/>
        <w:jc w:val="left"/>
      </w:pPr>
      <w:r>
        <w:rPr>
          <w:rFonts w:ascii="Times New Roman" w:hAnsi="Times New Roman"/>
          <w:b w:val="0"/>
          <w:i w:val="0"/>
          <w:sz w:val="24"/>
        </w:rPr>
        <w:t>[CHECK: Add — "Clarifying the Conceptual Map of VUCA: A Systematic Review" — find full citation]</w:t>
      </w:r>
    </w:p>
    <w:p>
      <w:r>
        <w:br w:type="page"/>
      </w:r>
    </w:p>
    <w:p>
      <w:pPr>
        <w:spacing w:after="40" w:before="0" w:line="480" w:lineRule="exact"/>
        <w:jc w:val="left"/>
      </w:pPr>
      <w:r>
        <w:rPr>
          <w:rFonts w:ascii="Times New Roman" w:hAnsi="Times New Roman"/>
          <w:b/>
          <w:i w:val="0"/>
          <w:sz w:val="24"/>
        </w:rPr>
        <w:t>Tables</w:t>
      </w:r>
    </w:p>
    <w:p>
      <w:pPr>
        <w:spacing w:after="120" w:before="0" w:line="480" w:lineRule="exact"/>
        <w:jc w:val="left"/>
      </w:pPr>
      <w:r>
        <w:rPr>
          <w:rFonts w:ascii="Times New Roman" w:hAnsi="Times New Roman"/>
          <w:b w:val="0"/>
          <w:i/>
          <w:sz w:val="24"/>
        </w:rPr>
        <w:t>[Tables follow — formatted from table1_measures_summary.md]</w:t>
      </w:r>
    </w:p>
    <w:p>
      <w:pPr>
        <w:spacing w:after="0" w:before="0" w:line="480" w:lineRule="exact"/>
        <w:jc w:val="left"/>
      </w:pPr>
      <w:r>
        <w:rPr>
          <w:rFonts w:ascii="Times New Roman" w:hAnsi="Times New Roman"/>
          <w:b w:val="0"/>
          <w:i w:val="0"/>
          <w:sz w:val="24"/>
        </w:rPr>
      </w:r>
      <w:r>
        <w:rPr>
          <w:rFonts w:ascii="Times New Roman" w:hAnsi="Times New Roman"/>
          <w:b/>
          <w:i w:val="0"/>
          <w:sz w:val="24"/>
        </w:rPr>
        <w:t>For paper:</w:t>
      </w:r>
      <w:r>
        <w:rPr>
          <w:rFonts w:ascii="Times New Roman" w:hAnsi="Times New Roman"/>
          <w:b w:val="0"/>
          <w:i w:val="0"/>
          <w:sz w:val="24"/>
        </w:rPr>
        <w:t xml:space="preserve"> Insert as Table 1 in Methods section (after standardization equation)</w:t>
      </w:r>
    </w:p>
    <w:p>
      <w:pPr>
        <w:spacing w:after="40" w:before="0" w:line="480" w:lineRule="exact"/>
        <w:jc w:val="left"/>
      </w:pPr>
      <w:r>
        <w:rPr>
          <w:rFonts w:ascii="Times New Roman" w:hAnsi="Times New Roman"/>
          <w:b/>
          <w:i w:val="0"/>
          <w:sz w:val="24"/>
        </w:rPr>
        <w:t>Table 1. VUCA Sub-Measures: Construction and Data Sources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360" w:lineRule="exact"/>
            </w:pPr>
            <w:r/>
            <w:r>
              <w:rPr>
                <w:rFonts w:ascii="Times New Roman" w:hAnsi="Times New Roman"/>
                <w:b/>
                <w:i w:val="0"/>
                <w:sz w:val="20"/>
              </w:rPr>
              <w:t>Dimension</w:t>
            </w:r>
          </w:p>
        </w:tc>
        <w:tc>
          <w:tcPr>
            <w:tcW w:type="dxa" w:w="1560"/>
          </w:tcPr>
          <w:p>
            <w:pPr>
              <w:spacing w:line="360" w:lineRule="exact"/>
            </w:pPr>
            <w:r/>
            <w:r>
              <w:rPr>
                <w:rFonts w:ascii="Times New Roman" w:hAnsi="Times New Roman"/>
                <w:b/>
                <w:i w:val="0"/>
                <w:sz w:val="20"/>
              </w:rPr>
              <w:t>Sub-measure</w:t>
            </w:r>
          </w:p>
        </w:tc>
        <w:tc>
          <w:tcPr>
            <w:tcW w:type="dxa" w:w="1560"/>
          </w:tcPr>
          <w:p>
            <w:pPr>
              <w:spacing w:line="360" w:lineRule="exact"/>
            </w:pPr>
            <w:r/>
            <w:r>
              <w:rPr>
                <w:rFonts w:ascii="Times New Roman" w:hAnsi="Times New Roman"/>
                <w:b/>
                <w:i w:val="0"/>
                <w:sz w:val="20"/>
              </w:rPr>
              <w:t>Symbol</w:t>
            </w:r>
          </w:p>
        </w:tc>
        <w:tc>
          <w:tcPr>
            <w:tcW w:type="dxa" w:w="1560"/>
          </w:tcPr>
          <w:p>
            <w:pPr>
              <w:spacing w:line="360" w:lineRule="exact"/>
            </w:pPr>
            <w:r/>
            <w:r>
              <w:rPr>
                <w:rFonts w:ascii="Times New Roman" w:hAnsi="Times New Roman"/>
                <w:b/>
                <w:i w:val="0"/>
                <w:sz w:val="20"/>
              </w:rPr>
              <w:t>Formula / Method</w:t>
            </w:r>
          </w:p>
        </w:tc>
        <w:tc>
          <w:tcPr>
            <w:tcW w:type="dxa" w:w="1560"/>
          </w:tcPr>
          <w:p>
            <w:pPr>
              <w:spacing w:line="360" w:lineRule="exact"/>
            </w:pPr>
            <w:r/>
            <w:r>
              <w:rPr>
                <w:rFonts w:ascii="Times New Roman" w:hAnsi="Times New Roman"/>
                <w:b/>
                <w:i w:val="0"/>
                <w:sz w:val="20"/>
              </w:rPr>
              <w:t>Data source</w:t>
            </w:r>
          </w:p>
        </w:tc>
        <w:tc>
          <w:tcPr>
            <w:tcW w:type="dxa" w:w="1560"/>
          </w:tcPr>
          <w:p>
            <w:pPr>
              <w:spacing w:line="360" w:lineRule="exact"/>
            </w:pPr>
            <w:r/>
            <w:r>
              <w:rPr>
                <w:rFonts w:ascii="Times New Roman" w:hAnsi="Times New Roman"/>
                <w:b/>
                <w:i w:val="0"/>
                <w:sz w:val="20"/>
              </w:rPr>
              <w:t>Expected direction</w:t>
            </w:r>
          </w:p>
        </w:tc>
      </w:tr>
      <w:tr>
        <w:tc>
          <w:tcPr>
            <w:tcW w:type="dxa" w:w="1560"/>
          </w:tcPr>
          <w:p>
            <w:pPr>
              <w:spacing w:line="360" w:lineRule="exact"/>
            </w:pPr>
            <w:r/>
            <w:r>
              <w:rPr>
                <w:rFonts w:ascii="Times New Roman" w:hAnsi="Times New Roman"/>
                <w:b w:val="0"/>
                <w:i w:val="0"/>
                <w:sz w:val="20"/>
              </w:rPr>
            </w:r>
            <w:r>
              <w:rPr>
                <w:rFonts w:ascii="Times New Roman" w:hAnsi="Times New Roman"/>
                <w:b/>
                <w:i w:val="0"/>
                <w:sz w:val="20"/>
              </w:rPr>
              <w:t>V — Volatility</w:t>
            </w:r>
            <w:r>
              <w:rPr>
                <w:rFonts w:ascii="Times New Roman" w:hAnsi="Times New Roman"/>
                <w:b w:val="0"/>
                <w:i w:val="0"/>
                <w:sz w:val="20"/>
              </w:rPr>
            </w:r>
          </w:p>
        </w:tc>
        <w:tc>
          <w:tcPr>
            <w:tcW w:type="dxa" w:w="1560"/>
          </w:tcPr>
          <w:p>
            <w:pPr>
              <w:spacing w:line="360" w:lineRule="exact"/>
            </w:pPr>
            <w:r/>
            <w:r>
              <w:rPr>
                <w:rFonts w:ascii="Times New Roman" w:hAnsi="Times New Roman"/>
                <w:b w:val="0"/>
                <w:i w:val="0"/>
                <w:sz w:val="20"/>
              </w:rPr>
              <w:t>Quantitative</w:t>
            </w:r>
          </w:p>
        </w:tc>
        <w:tc>
          <w:tcPr>
            <w:tcW w:type="dxa" w:w="1560"/>
          </w:tcPr>
          <w:p>
            <w:pPr>
              <w:spacing w:line="360" w:lineRule="exact"/>
            </w:pPr>
            <w:r/>
            <w:r>
              <w:rPr>
                <w:rFonts w:ascii="Times New Roman" w:hAnsi="Times New Roman"/>
                <w:b w:val="0"/>
                <w:i w:val="0"/>
                <w:sz w:val="20"/>
              </w:rPr>
              <w:t>V_quant</w:t>
            </w:r>
          </w:p>
        </w:tc>
        <w:tc>
          <w:tcPr>
            <w:tcW w:type="dxa" w:w="1560"/>
          </w:tcPr>
          <w:p>
            <w:pPr>
              <w:spacing w:line="360" w:lineRule="exact"/>
            </w:pPr>
            <w:r/>
            <w:r>
              <w:rPr>
                <w:rFonts w:ascii="Times New Roman" w:hAnsi="Times New Roman"/>
                <w:b w:val="0"/>
                <w:i w:val="0"/>
                <w:sz w:val="20"/>
              </w:rPr>
              <w:t>Rolling 12-mo SD of ̄_t</w:t>
            </w:r>
          </w:p>
        </w:tc>
        <w:tc>
          <w:tcPr>
            <w:tcW w:type="dxa" w:w="1560"/>
          </w:tcPr>
          <w:p>
            <w:pPr>
              <w:spacing w:line="360" w:lineRule="exact"/>
            </w:pPr>
            <w:r/>
            <w:r>
              <w:rPr>
                <w:rFonts w:ascii="Times New Roman" w:hAnsi="Times New Roman"/>
                <w:b w:val="0"/>
                <w:i w:val="0"/>
                <w:sz w:val="20"/>
              </w:rPr>
              <w:t>AEB individual responses (col 19)</w:t>
            </w:r>
          </w:p>
        </w:tc>
        <w:tc>
          <w:tcPr>
            <w:tcW w:type="dxa" w:w="1560"/>
          </w:tcPr>
          <w:p>
            <w:pPr>
              <w:spacing w:line="360" w:lineRule="exact"/>
            </w:pPr>
            <w:r/>
            <w:r>
              <w:rPr>
                <w:rFonts w:ascii="Times New Roman" w:hAnsi="Times New Roman"/>
                <w:b w:val="0"/>
                <w:i w:val="0"/>
                <w:sz w:val="20"/>
              </w:rPr>
              <w:t>↑ at shock events</w:t>
            </w:r>
          </w:p>
        </w:tc>
      </w:tr>
      <w:tr>
        <w:tc>
          <w:tcPr>
            <w:tcW w:type="dxa" w:w="1560"/>
          </w:tcPr>
          <w:p>
            <w:pPr>
              <w:spacing w:line="360" w:lineRule="exact"/>
            </w:pPr>
            <w:r/>
            <w:r>
              <w:rPr>
                <w:rFonts w:ascii="Times New Roman" w:hAnsi="Times New Roman"/>
                <w:b w:val="0"/>
                <w:i w:val="0"/>
                <w:sz w:val="20"/>
              </w:rPr>
            </w:r>
          </w:p>
        </w:tc>
        <w:tc>
          <w:tcPr>
            <w:tcW w:type="dxa" w:w="1560"/>
          </w:tcPr>
          <w:p>
            <w:pPr>
              <w:spacing w:line="360" w:lineRule="exact"/>
            </w:pPr>
            <w:r/>
            <w:r>
              <w:rPr>
                <w:rFonts w:ascii="Times New Roman" w:hAnsi="Times New Roman"/>
                <w:b w:val="0"/>
                <w:i w:val="0"/>
                <w:sz w:val="20"/>
              </w:rPr>
              <w:t>Text-based</w:t>
            </w:r>
          </w:p>
        </w:tc>
        <w:tc>
          <w:tcPr>
            <w:tcW w:type="dxa" w:w="1560"/>
          </w:tcPr>
          <w:p>
            <w:pPr>
              <w:spacing w:line="360" w:lineRule="exact"/>
            </w:pPr>
            <w:r/>
            <w:r>
              <w:rPr>
                <w:rFonts w:ascii="Times New Roman" w:hAnsi="Times New Roman"/>
                <w:b w:val="0"/>
                <w:i w:val="0"/>
                <w:sz w:val="20"/>
              </w:rPr>
              <w:t>V_text</w:t>
            </w:r>
          </w:p>
        </w:tc>
        <w:tc>
          <w:tcPr>
            <w:tcW w:type="dxa" w:w="1560"/>
          </w:tcPr>
          <w:p>
            <w:pPr>
              <w:spacing w:line="360" w:lineRule="exact"/>
            </w:pPr>
            <w:r/>
            <w:r>
              <w:rPr>
                <w:rFonts w:ascii="Times New Roman" w:hAnsi="Times New Roman"/>
                <w:b w:val="0"/>
                <w:i w:val="0"/>
                <w:sz w:val="20"/>
              </w:rPr>
              <w:t>Jaccard distance of top-20 tokens, month t vs t-1</w:t>
            </w:r>
          </w:p>
        </w:tc>
        <w:tc>
          <w:tcPr>
            <w:tcW w:type="dxa" w:w="1560"/>
          </w:tcPr>
          <w:p>
            <w:pPr>
              <w:spacing w:line="360" w:lineRule="exact"/>
            </w:pPr>
            <w:r/>
            <w:r>
              <w:rPr>
                <w:rFonts w:ascii="Times New Roman" w:hAnsi="Times New Roman"/>
                <w:b w:val="0"/>
                <w:i w:val="0"/>
                <w:sz w:val="20"/>
              </w:rPr>
              <w:t>Word Cloud open-ended responses</w:t>
            </w:r>
          </w:p>
        </w:tc>
        <w:tc>
          <w:tcPr>
            <w:tcW w:type="dxa" w:w="1560"/>
          </w:tcPr>
          <w:p>
            <w:pPr>
              <w:spacing w:line="360" w:lineRule="exact"/>
            </w:pPr>
            <w:r/>
            <w:r>
              <w:rPr>
                <w:rFonts w:ascii="Times New Roman" w:hAnsi="Times New Roman"/>
                <w:b w:val="0"/>
                <w:i w:val="0"/>
                <w:sz w:val="20"/>
              </w:rPr>
              <w:t>↑ at shock events</w:t>
            </w:r>
          </w:p>
        </w:tc>
      </w:tr>
      <w:tr>
        <w:tc>
          <w:tcPr>
            <w:tcW w:type="dxa" w:w="1560"/>
          </w:tcPr>
          <w:p>
            <w:pPr>
              <w:spacing w:line="360" w:lineRule="exact"/>
            </w:pPr>
            <w:r/>
            <w:r>
              <w:rPr>
                <w:rFonts w:ascii="Times New Roman" w:hAnsi="Times New Roman"/>
                <w:b w:val="0"/>
                <w:i w:val="0"/>
                <w:sz w:val="20"/>
              </w:rPr>
            </w:r>
            <w:r>
              <w:rPr>
                <w:rFonts w:ascii="Times New Roman" w:hAnsi="Times New Roman"/>
                <w:b/>
                <w:i w:val="0"/>
                <w:sz w:val="20"/>
              </w:rPr>
              <w:t>U — Uncertainty</w:t>
            </w:r>
            <w:r>
              <w:rPr>
                <w:rFonts w:ascii="Times New Roman" w:hAnsi="Times New Roman"/>
                <w:b w:val="0"/>
                <w:i w:val="0"/>
                <w:sz w:val="20"/>
              </w:rPr>
            </w:r>
          </w:p>
        </w:tc>
        <w:tc>
          <w:tcPr>
            <w:tcW w:type="dxa" w:w="1560"/>
          </w:tcPr>
          <w:p>
            <w:pPr>
              <w:spacing w:line="360" w:lineRule="exact"/>
            </w:pPr>
            <w:r/>
            <w:r>
              <w:rPr>
                <w:rFonts w:ascii="Times New Roman" w:hAnsi="Times New Roman"/>
                <w:b w:val="0"/>
                <w:i w:val="0"/>
                <w:sz w:val="20"/>
              </w:rPr>
              <w:t>Quantitative</w:t>
            </w:r>
          </w:p>
        </w:tc>
        <w:tc>
          <w:tcPr>
            <w:tcW w:type="dxa" w:w="1560"/>
          </w:tcPr>
          <w:p>
            <w:pPr>
              <w:spacing w:line="360" w:lineRule="exact"/>
            </w:pPr>
            <w:r/>
            <w:r>
              <w:rPr>
                <w:rFonts w:ascii="Times New Roman" w:hAnsi="Times New Roman"/>
                <w:b w:val="0"/>
                <w:i w:val="0"/>
                <w:sz w:val="20"/>
              </w:rPr>
              <w:t>U_quant</w:t>
            </w:r>
          </w:p>
        </w:tc>
        <w:tc>
          <w:tcPr>
            <w:tcW w:type="dxa" w:w="1560"/>
          </w:tcPr>
          <w:p>
            <w:pPr>
              <w:spacing w:line="360" w:lineRule="exact"/>
            </w:pPr>
            <w:r/>
            <w:r>
              <w:rPr>
                <w:rFonts w:ascii="Times New Roman" w:hAnsi="Times New Roman"/>
                <w:b w:val="0"/>
                <w:i w:val="0"/>
                <w:sz w:val="20"/>
              </w:rPr>
              <w:t>-IFĒ_t (inverted future expectations)</w:t>
            </w:r>
          </w:p>
        </w:tc>
        <w:tc>
          <w:tcPr>
            <w:tcW w:type="dxa" w:w="1560"/>
          </w:tcPr>
          <w:p>
            <w:pPr>
              <w:spacing w:line="360" w:lineRule="exact"/>
            </w:pPr>
            <w:r/>
            <w:r>
              <w:rPr>
                <w:rFonts w:ascii="Times New Roman" w:hAnsi="Times New Roman"/>
                <w:b w:val="0"/>
                <w:i w:val="0"/>
                <w:sz w:val="20"/>
              </w:rPr>
              <w:t>AEB col 21 (IFE index)</w:t>
            </w:r>
          </w:p>
        </w:tc>
        <w:tc>
          <w:tcPr>
            <w:tcW w:type="dxa" w:w="1560"/>
          </w:tcPr>
          <w:p>
            <w:pPr>
              <w:spacing w:line="360" w:lineRule="exact"/>
            </w:pPr>
            <w:r/>
            <w:r>
              <w:rPr>
                <w:rFonts w:ascii="Times New Roman" w:hAnsi="Times New Roman"/>
                <w:b w:val="0"/>
                <w:i w:val="0"/>
                <w:sz w:val="20"/>
              </w:rPr>
              <w:t>↑ when farmers pessimistic</w:t>
            </w:r>
          </w:p>
        </w:tc>
      </w:tr>
      <w:tr>
        <w:tc>
          <w:tcPr>
            <w:tcW w:type="dxa" w:w="1560"/>
          </w:tcPr>
          <w:p>
            <w:pPr>
              <w:spacing w:line="360" w:lineRule="exact"/>
            </w:pPr>
            <w:r/>
            <w:r>
              <w:rPr>
                <w:rFonts w:ascii="Times New Roman" w:hAnsi="Times New Roman"/>
                <w:b w:val="0"/>
                <w:i w:val="0"/>
                <w:sz w:val="20"/>
              </w:rPr>
            </w:r>
          </w:p>
        </w:tc>
        <w:tc>
          <w:tcPr>
            <w:tcW w:type="dxa" w:w="1560"/>
          </w:tcPr>
          <w:p>
            <w:pPr>
              <w:spacing w:line="360" w:lineRule="exact"/>
            </w:pPr>
            <w:r/>
            <w:r>
              <w:rPr>
                <w:rFonts w:ascii="Times New Roman" w:hAnsi="Times New Roman"/>
                <w:b w:val="0"/>
                <w:i w:val="0"/>
                <w:sz w:val="20"/>
              </w:rPr>
              <w:t>Text-based</w:t>
            </w:r>
          </w:p>
        </w:tc>
        <w:tc>
          <w:tcPr>
            <w:tcW w:type="dxa" w:w="1560"/>
          </w:tcPr>
          <w:p>
            <w:pPr>
              <w:spacing w:line="360" w:lineRule="exact"/>
            </w:pPr>
            <w:r/>
            <w:r>
              <w:rPr>
                <w:rFonts w:ascii="Times New Roman" w:hAnsi="Times New Roman"/>
                <w:b w:val="0"/>
                <w:i w:val="0"/>
                <w:sz w:val="20"/>
              </w:rPr>
              <w:t>U_text</w:t>
            </w:r>
          </w:p>
        </w:tc>
        <w:tc>
          <w:tcPr>
            <w:tcW w:type="dxa" w:w="1560"/>
          </w:tcPr>
          <w:p>
            <w:pPr>
              <w:spacing w:line="360" w:lineRule="exact"/>
            </w:pPr>
            <w:r/>
            <w:r>
              <w:rPr>
                <w:rFonts w:ascii="Times New Roman" w:hAnsi="Times New Roman"/>
                <w:b w:val="0"/>
                <w:i w:val="0"/>
                <w:sz w:val="20"/>
              </w:rPr>
              <w:t>% responses with ≥1 EPU/ag uncertainty word</w:t>
            </w:r>
          </w:p>
        </w:tc>
        <w:tc>
          <w:tcPr>
            <w:tcW w:type="dxa" w:w="1560"/>
          </w:tcPr>
          <w:p>
            <w:pPr>
              <w:spacing w:line="360" w:lineRule="exact"/>
            </w:pPr>
            <w:r/>
            <w:r>
              <w:rPr>
                <w:rFonts w:ascii="Times New Roman" w:hAnsi="Times New Roman"/>
                <w:b w:val="0"/>
                <w:i w:val="0"/>
                <w:sz w:val="20"/>
              </w:rPr>
              <w:t>Word Cloud + EPU dictionary</w:t>
            </w:r>
          </w:p>
        </w:tc>
        <w:tc>
          <w:tcPr>
            <w:tcW w:type="dxa" w:w="1560"/>
          </w:tcPr>
          <w:p>
            <w:pPr>
              <w:spacing w:line="360" w:lineRule="exact"/>
            </w:pPr>
            <w:r/>
            <w:r>
              <w:rPr>
                <w:rFonts w:ascii="Times New Roman" w:hAnsi="Times New Roman"/>
                <w:b w:val="0"/>
                <w:i w:val="0"/>
                <w:sz w:val="20"/>
              </w:rPr>
              <w:t>↑ at policy shocks</w:t>
            </w:r>
          </w:p>
        </w:tc>
      </w:tr>
      <w:tr>
        <w:tc>
          <w:tcPr>
            <w:tcW w:type="dxa" w:w="1560"/>
          </w:tcPr>
          <w:p>
            <w:pPr>
              <w:spacing w:line="360" w:lineRule="exact"/>
            </w:pPr>
            <w:r/>
            <w:r>
              <w:rPr>
                <w:rFonts w:ascii="Times New Roman" w:hAnsi="Times New Roman"/>
                <w:b w:val="0"/>
                <w:i w:val="0"/>
                <w:sz w:val="20"/>
              </w:rPr>
            </w:r>
            <w:r>
              <w:rPr>
                <w:rFonts w:ascii="Times New Roman" w:hAnsi="Times New Roman"/>
                <w:b/>
                <w:i w:val="0"/>
                <w:sz w:val="20"/>
              </w:rPr>
              <w:t>C — Complexity</w:t>
            </w:r>
            <w:r>
              <w:rPr>
                <w:rFonts w:ascii="Times New Roman" w:hAnsi="Times New Roman"/>
                <w:b w:val="0"/>
                <w:i w:val="0"/>
                <w:sz w:val="20"/>
              </w:rPr>
            </w:r>
          </w:p>
        </w:tc>
        <w:tc>
          <w:tcPr>
            <w:tcW w:type="dxa" w:w="1560"/>
          </w:tcPr>
          <w:p>
            <w:pPr>
              <w:spacing w:line="360" w:lineRule="exact"/>
            </w:pPr>
            <w:r/>
            <w:r>
              <w:rPr>
                <w:rFonts w:ascii="Times New Roman" w:hAnsi="Times New Roman"/>
                <w:b w:val="0"/>
                <w:i w:val="0"/>
                <w:sz w:val="20"/>
              </w:rPr>
              <w:t>Quantitative</w:t>
            </w:r>
          </w:p>
        </w:tc>
        <w:tc>
          <w:tcPr>
            <w:tcW w:type="dxa" w:w="1560"/>
          </w:tcPr>
          <w:p>
            <w:pPr>
              <w:spacing w:line="360" w:lineRule="exact"/>
            </w:pPr>
            <w:r/>
            <w:r>
              <w:rPr>
                <w:rFonts w:ascii="Times New Roman" w:hAnsi="Times New Roman"/>
                <w:b w:val="0"/>
                <w:i w:val="0"/>
                <w:sz w:val="20"/>
              </w:rPr>
              <w:t>C_quant</w:t>
            </w:r>
          </w:p>
        </w:tc>
        <w:tc>
          <w:tcPr>
            <w:tcW w:type="dxa" w:w="1560"/>
          </w:tcPr>
          <w:p>
            <w:pPr>
              <w:spacing w:line="360" w:lineRule="exact"/>
            </w:pPr>
            <w:r/>
            <w:r>
              <w:rPr>
                <w:rFonts w:ascii="Times New Roman" w:hAnsi="Times New Roman"/>
                <w:b w:val="0"/>
                <w:i w:val="0"/>
                <w:sz w:val="20"/>
              </w:rPr>
              <w:t>1 - _1^(t): inverse PC1 share, rolling LDA topic PCA</w:t>
            </w:r>
          </w:p>
        </w:tc>
        <w:tc>
          <w:tcPr>
            <w:tcW w:type="dxa" w:w="1560"/>
          </w:tcPr>
          <w:p>
            <w:pPr>
              <w:spacing w:line="360" w:lineRule="exact"/>
            </w:pPr>
            <w:r/>
            <w:r>
              <w:rPr>
                <w:rFonts w:ascii="Times New Roman" w:hAnsi="Times New Roman"/>
                <w:b w:val="0"/>
                <w:i w:val="0"/>
                <w:sz w:val="20"/>
              </w:rPr>
              <w:t>LDA topic shares (pooled corpus)</w:t>
            </w:r>
          </w:p>
        </w:tc>
        <w:tc>
          <w:tcPr>
            <w:tcW w:type="dxa" w:w="1560"/>
          </w:tcPr>
          <w:p>
            <w:pPr>
              <w:spacing w:line="360" w:lineRule="exact"/>
            </w:pPr>
            <w:r/>
            <w:r>
              <w:rPr>
                <w:rFonts w:ascii="Times New Roman" w:hAnsi="Times New Roman"/>
                <w:b w:val="0"/>
                <w:i w:val="0"/>
                <w:sz w:val="20"/>
              </w:rPr>
              <w:t>↑ when topic space multidimensional</w:t>
            </w:r>
          </w:p>
        </w:tc>
      </w:tr>
      <w:tr>
        <w:tc>
          <w:tcPr>
            <w:tcW w:type="dxa" w:w="1560"/>
          </w:tcPr>
          <w:p>
            <w:pPr>
              <w:spacing w:line="360" w:lineRule="exact"/>
            </w:pPr>
            <w:r/>
            <w:r>
              <w:rPr>
                <w:rFonts w:ascii="Times New Roman" w:hAnsi="Times New Roman"/>
                <w:b w:val="0"/>
                <w:i w:val="0"/>
                <w:sz w:val="20"/>
              </w:rPr>
            </w:r>
          </w:p>
        </w:tc>
        <w:tc>
          <w:tcPr>
            <w:tcW w:type="dxa" w:w="1560"/>
          </w:tcPr>
          <w:p>
            <w:pPr>
              <w:spacing w:line="360" w:lineRule="exact"/>
            </w:pPr>
            <w:r/>
            <w:r>
              <w:rPr>
                <w:rFonts w:ascii="Times New Roman" w:hAnsi="Times New Roman"/>
                <w:b w:val="0"/>
                <w:i w:val="0"/>
                <w:sz w:val="20"/>
              </w:rPr>
              <w:t>Text-based</w:t>
            </w:r>
          </w:p>
        </w:tc>
        <w:tc>
          <w:tcPr>
            <w:tcW w:type="dxa" w:w="1560"/>
          </w:tcPr>
          <w:p>
            <w:pPr>
              <w:spacing w:line="360" w:lineRule="exact"/>
            </w:pPr>
            <w:r/>
            <w:r>
              <w:rPr>
                <w:rFonts w:ascii="Times New Roman" w:hAnsi="Times New Roman"/>
                <w:b w:val="0"/>
                <w:i w:val="0"/>
                <w:sz w:val="20"/>
              </w:rPr>
              <w:t>C_text</w:t>
            </w:r>
          </w:p>
        </w:tc>
        <w:tc>
          <w:tcPr>
            <w:tcW w:type="dxa" w:w="1560"/>
          </w:tcPr>
          <w:p>
            <w:pPr>
              <w:spacing w:line="360" w:lineRule="exact"/>
            </w:pPr>
            <w:r/>
            <w:r>
              <w:rPr>
                <w:rFonts w:ascii="Times New Roman" w:hAnsi="Times New Roman"/>
                <w:b w:val="0"/>
                <w:i w:val="0"/>
                <w:sz w:val="20"/>
              </w:rPr>
              <w:t>Mean Shannon entropy of per-response topic distributions</w:t>
            </w:r>
          </w:p>
        </w:tc>
        <w:tc>
          <w:tcPr>
            <w:tcW w:type="dxa" w:w="1560"/>
          </w:tcPr>
          <w:p>
            <w:pPr>
              <w:spacing w:line="360" w:lineRule="exact"/>
            </w:pPr>
            <w:r/>
            <w:r>
              <w:rPr>
                <w:rFonts w:ascii="Times New Roman" w:hAnsi="Times New Roman"/>
                <w:b w:val="0"/>
                <w:i w:val="0"/>
                <w:sz w:val="20"/>
              </w:rPr>
              <w:t>LDA (K=10) on Word Cloud corpus</w:t>
            </w:r>
          </w:p>
        </w:tc>
        <w:tc>
          <w:tcPr>
            <w:tcW w:type="dxa" w:w="1560"/>
          </w:tcPr>
          <w:p>
            <w:pPr>
              <w:spacing w:line="360" w:lineRule="exact"/>
            </w:pPr>
            <w:r/>
            <w:r>
              <w:rPr>
                <w:rFonts w:ascii="Times New Roman" w:hAnsi="Times New Roman"/>
                <w:b w:val="0"/>
                <w:i w:val="0"/>
                <w:sz w:val="20"/>
              </w:rPr>
              <w:t>↑ when responses draw on diverse topics</w:t>
            </w:r>
          </w:p>
        </w:tc>
      </w:tr>
      <w:tr>
        <w:tc>
          <w:tcPr>
            <w:tcW w:type="dxa" w:w="1560"/>
          </w:tcPr>
          <w:p>
            <w:pPr>
              <w:spacing w:line="360" w:lineRule="exact"/>
            </w:pPr>
            <w:r/>
            <w:r>
              <w:rPr>
                <w:rFonts w:ascii="Times New Roman" w:hAnsi="Times New Roman"/>
                <w:b w:val="0"/>
                <w:i w:val="0"/>
                <w:sz w:val="20"/>
              </w:rPr>
            </w:r>
            <w:r>
              <w:rPr>
                <w:rFonts w:ascii="Times New Roman" w:hAnsi="Times New Roman"/>
                <w:b/>
                <w:i w:val="0"/>
                <w:sz w:val="20"/>
              </w:rPr>
              <w:t>A — Ambiguity</w:t>
            </w:r>
            <w:r>
              <w:rPr>
                <w:rFonts w:ascii="Times New Roman" w:hAnsi="Times New Roman"/>
                <w:b w:val="0"/>
                <w:i w:val="0"/>
                <w:sz w:val="20"/>
              </w:rPr>
            </w:r>
          </w:p>
        </w:tc>
        <w:tc>
          <w:tcPr>
            <w:tcW w:type="dxa" w:w="1560"/>
          </w:tcPr>
          <w:p>
            <w:pPr>
              <w:spacing w:line="360" w:lineRule="exact"/>
            </w:pPr>
            <w:r/>
            <w:r>
              <w:rPr>
                <w:rFonts w:ascii="Times New Roman" w:hAnsi="Times New Roman"/>
                <w:b w:val="0"/>
                <w:i w:val="0"/>
                <w:sz w:val="20"/>
              </w:rPr>
              <w:t>Quantitative</w:t>
            </w:r>
          </w:p>
        </w:tc>
        <w:tc>
          <w:tcPr>
            <w:tcW w:type="dxa" w:w="1560"/>
          </w:tcPr>
          <w:p>
            <w:pPr>
              <w:spacing w:line="360" w:lineRule="exact"/>
            </w:pPr>
            <w:r/>
            <w:r>
              <w:rPr>
                <w:rFonts w:ascii="Times New Roman" w:hAnsi="Times New Roman"/>
                <w:b w:val="0"/>
                <w:i w:val="0"/>
                <w:sz w:val="20"/>
              </w:rPr>
              <w:t>A_quant</w:t>
            </w:r>
          </w:p>
        </w:tc>
        <w:tc>
          <w:tcPr>
            <w:tcW w:type="dxa" w:w="1560"/>
          </w:tcPr>
          <w:p>
            <w:pPr>
              <w:spacing w:line="360" w:lineRule="exact"/>
            </w:pPr>
            <w:r/>
            <w:r>
              <w:rPr>
                <w:rFonts w:ascii="Times New Roman" w:hAnsi="Times New Roman"/>
                <w:b w:val="0"/>
                <w:i w:val="0"/>
                <w:sz w:val="20"/>
              </w:rPr>
              <w:t>Mean of: excess kurtosis + Hartigan dip p-value + skewness sign-flip count</w:t>
            </w:r>
          </w:p>
        </w:tc>
        <w:tc>
          <w:tcPr>
            <w:tcW w:type="dxa" w:w="1560"/>
          </w:tcPr>
          <w:p>
            <w:pPr>
              <w:spacing w:line="360" w:lineRule="exact"/>
            </w:pPr>
            <w:r/>
            <w:r>
              <w:rPr>
                <w:rFonts w:ascii="Times New Roman" w:hAnsi="Times New Roman"/>
                <w:b w:val="0"/>
                <w:i w:val="0"/>
                <w:sz w:val="20"/>
              </w:rPr>
              <w:t>AEB individual responses (col 19)</w:t>
            </w:r>
          </w:p>
        </w:tc>
        <w:tc>
          <w:tcPr>
            <w:tcW w:type="dxa" w:w="1560"/>
          </w:tcPr>
          <w:p>
            <w:pPr>
              <w:spacing w:line="360" w:lineRule="exact"/>
            </w:pPr>
            <w:r/>
            <w:r>
              <w:rPr>
                <w:rFonts w:ascii="Times New Roman" w:hAnsi="Times New Roman"/>
                <w:b w:val="0"/>
                <w:i w:val="0"/>
                <w:sz w:val="20"/>
              </w:rPr>
              <w:t>↑ when AEB distribution bimodal/unstable</w:t>
            </w:r>
          </w:p>
        </w:tc>
      </w:tr>
      <w:tr>
        <w:tc>
          <w:tcPr>
            <w:tcW w:type="dxa" w:w="1560"/>
          </w:tcPr>
          <w:p>
            <w:pPr>
              <w:spacing w:line="360" w:lineRule="exact"/>
            </w:pPr>
            <w:r/>
            <w:r>
              <w:rPr>
                <w:rFonts w:ascii="Times New Roman" w:hAnsi="Times New Roman"/>
                <w:b w:val="0"/>
                <w:i w:val="0"/>
                <w:sz w:val="20"/>
              </w:rPr>
            </w:r>
          </w:p>
        </w:tc>
        <w:tc>
          <w:tcPr>
            <w:tcW w:type="dxa" w:w="1560"/>
          </w:tcPr>
          <w:p>
            <w:pPr>
              <w:spacing w:line="360" w:lineRule="exact"/>
            </w:pPr>
            <w:r/>
            <w:r>
              <w:rPr>
                <w:rFonts w:ascii="Times New Roman" w:hAnsi="Times New Roman"/>
                <w:b w:val="0"/>
                <w:i w:val="0"/>
                <w:sz w:val="20"/>
              </w:rPr>
              <w:t>Text-based</w:t>
            </w:r>
          </w:p>
        </w:tc>
        <w:tc>
          <w:tcPr>
            <w:tcW w:type="dxa" w:w="1560"/>
          </w:tcPr>
          <w:p>
            <w:pPr>
              <w:spacing w:line="360" w:lineRule="exact"/>
            </w:pPr>
            <w:r/>
            <w:r>
              <w:rPr>
                <w:rFonts w:ascii="Times New Roman" w:hAnsi="Times New Roman"/>
                <w:b w:val="0"/>
                <w:i w:val="0"/>
                <w:sz w:val="20"/>
              </w:rPr>
              <w:t>A_text</w:t>
            </w:r>
          </w:p>
        </w:tc>
        <w:tc>
          <w:tcPr>
            <w:tcW w:type="dxa" w:w="1560"/>
          </w:tcPr>
          <w:p>
            <w:pPr>
              <w:spacing w:line="360" w:lineRule="exact"/>
            </w:pPr>
            <w:r/>
            <w:r>
              <w:rPr>
                <w:rFonts w:ascii="Times New Roman" w:hAnsi="Times New Roman"/>
                <w:b w:val="0"/>
                <w:i w:val="0"/>
                <w:sz w:val="20"/>
              </w:rPr>
              <w:t>Mean of: polarity conflict rate + ambiguity phrase rate</w:t>
            </w:r>
          </w:p>
        </w:tc>
        <w:tc>
          <w:tcPr>
            <w:tcW w:type="dxa" w:w="1560"/>
          </w:tcPr>
          <w:p>
            <w:pPr>
              <w:spacing w:line="360" w:lineRule="exact"/>
            </w:pPr>
            <w:r/>
            <w:r>
              <w:rPr>
                <w:rFonts w:ascii="Times New Roman" w:hAnsi="Times New Roman"/>
                <w:b w:val="0"/>
                <w:i w:val="0"/>
                <w:sz w:val="20"/>
              </w:rPr>
              <w:t>Word Cloud + polarity/phrase dictionaries</w:t>
            </w:r>
          </w:p>
        </w:tc>
        <w:tc>
          <w:tcPr>
            <w:tcW w:type="dxa" w:w="1560"/>
          </w:tcPr>
          <w:p>
            <w:pPr>
              <w:spacing w:line="360" w:lineRule="exact"/>
            </w:pPr>
            <w:r/>
            <w:r>
              <w:rPr>
                <w:rFonts w:ascii="Times New Roman" w:hAnsi="Times New Roman"/>
                <w:b w:val="0"/>
                <w:i w:val="0"/>
                <w:sz w:val="20"/>
              </w:rPr>
              <w:t>↑ when responses contain mixed signals</w:t>
            </w:r>
          </w:p>
        </w:tc>
      </w:tr>
    </w:tbl>
    <w:p/>
    <w:p>
      <w:pPr>
        <w:spacing w:after="0" w:before="0" w:line="480" w:lineRule="exact"/>
        <w:jc w:val="left"/>
      </w:pPr>
      <w:r>
        <w:rPr>
          <w:rFonts w:ascii="Times New Roman" w:hAnsi="Times New Roman"/>
          <w:b w:val="0"/>
          <w:i w:val="0"/>
          <w:sz w:val="24"/>
        </w:rPr>
      </w:r>
      <w:r>
        <w:rPr>
          <w:rFonts w:ascii="Times New Roman" w:hAnsi="Times New Roman"/>
          <w:b/>
          <w:i w:val="0"/>
          <w:sz w:val="24"/>
        </w:rPr>
        <w:t>Notes:</w:t>
      </w:r>
      <w:r>
        <w:rPr>
          <w:rFonts w:ascii="Times New Roman" w:hAnsi="Times New Roman"/>
          <w:b w:val="0"/>
          <w:i w:val="0"/>
          <w:sz w:val="24"/>
        </w:rPr>
      </w:r>
    </w:p>
    <w:p>
      <w:pPr>
        <w:pStyle w:val="ListBullet"/>
        <w:spacing w:line="480" w:lineRule="exact" w:after="0"/>
        <w:ind w:left="360"/>
      </w:pPr>
      <w:r>
        <w:rPr>
          <w:rFonts w:ascii="Times New Roman" w:hAnsi="Times New Roman"/>
          <w:b w:val="0"/>
          <w:i w:val="0"/>
          <w:sz w:val="24"/>
        </w:rPr>
        <w:t>- All sub-measures are z-scored over a 2016–2019 baseline: z_it = (x_it - x̄_i,base) / _i,base</w:t>
      </w:r>
    </w:p>
    <w:p>
      <w:pPr>
        <w:pStyle w:val="ListBullet"/>
        <w:spacing w:line="480" w:lineRule="exact" w:after="0"/>
        <w:ind w:left="360"/>
      </w:pPr>
      <w:r>
        <w:rPr>
          <w:rFonts w:ascii="Times New Roman" w:hAnsi="Times New Roman"/>
          <w:b w:val="0"/>
          <w:i w:val="0"/>
          <w:sz w:val="24"/>
        </w:rPr>
        <w:t>- Final dimension score: VUCA_d,t = 12(z_d,quant,t + z_d,text,t)</w:t>
      </w:r>
    </w:p>
    <w:p>
      <w:pPr>
        <w:pStyle w:val="ListBullet"/>
        <w:spacing w:line="480" w:lineRule="exact" w:after="0"/>
        <w:ind w:left="360"/>
      </w:pPr>
      <w:r>
        <w:rPr>
          <w:rFonts w:ascii="Times New Roman" w:hAnsi="Times New Roman"/>
          <w:b w:val="0"/>
          <w:i w:val="0"/>
          <w:sz w:val="24"/>
        </w:rPr>
        <w:t>- AEB column indices are 0-based; col 19 = AEB composite, col 20 = ICC, col 21 = IFE</w:t>
      </w:r>
    </w:p>
    <w:p>
      <w:pPr>
        <w:pStyle w:val="ListBullet"/>
        <w:spacing w:line="480" w:lineRule="exact" w:after="0"/>
        <w:ind w:left="360"/>
      </w:pPr>
      <w:r>
        <w:rPr>
          <w:rFonts w:ascii="Times New Roman" w:hAnsi="Times New Roman"/>
          <w:b w:val="0"/>
          <w:i w:val="0"/>
          <w:sz w:val="24"/>
        </w:rPr>
        <w:t>- LDA fitted on pooled corpus of all monthly responses; topic shares extracted per-month with fixed random seed (42)</w:t>
      </w:r>
    </w:p>
    <w:p>
      <w:pPr>
        <w:pStyle w:val="ListBullet"/>
        <w:spacing w:line="480" w:lineRule="exact" w:after="0"/>
        <w:ind w:left="360"/>
      </w:pPr>
      <w:r>
        <w:rPr>
          <w:rFonts w:ascii="Times New Roman" w:hAnsi="Times New Roman"/>
          <w:b w:val="0"/>
          <w:i w:val="0"/>
          <w:sz w:val="24"/>
        </w:rPr>
        <w:t>- Hartigan dip test excluded for months with N &lt; 50 respondents</w:t>
      </w:r>
    </w:p>
    <w:p>
      <w:pPr>
        <w:pStyle w:val="ListBullet"/>
        <w:spacing w:line="480" w:lineRule="exact" w:after="0"/>
        <w:ind w:left="360"/>
      </w:pPr>
      <w:r>
        <w:rPr>
          <w:rFonts w:ascii="Times New Roman" w:hAnsi="Times New Roman"/>
          <w:b w:val="0"/>
          <w:i w:val="0"/>
          <w:sz w:val="24"/>
        </w:rPr>
        <w:t>- EPU dictionary and agricultural uncertainty word list provided in supplementary materials</w:t>
      </w:r>
    </w:p>
    <w:p>
      <w:pPr>
        <w:spacing w:after="40" w:before="0" w:line="480" w:lineRule="exact"/>
        <w:jc w:val="left"/>
      </w:pPr>
      <w:r>
        <w:rPr>
          <w:rFonts w:ascii="Times New Roman" w:hAnsi="Times New Roman"/>
          <w:b/>
          <w:i w:val="0"/>
          <w:sz w:val="24"/>
        </w:rPr>
        <w:t>Table 2. Descriptive Statistics — VUCA Dimension Scores</w:t>
      </w:r>
    </w:p>
    <w:p>
      <w:pPr>
        <w:spacing w:after="0" w:before="0" w:line="480" w:lineRule="exact"/>
        <w:jc w:val="left"/>
      </w:pPr>
      <w:r>
        <w:rPr>
          <w:rFonts w:ascii="Times New Roman" w:hAnsi="Times New Roman"/>
          <w:b w:val="0"/>
          <w:i w:val="0"/>
          <w:sz w:val="24"/>
        </w:rPr>
      </w:r>
      <w:r>
        <w:rPr>
          <w:rFonts w:ascii="Times New Roman" w:hAnsi="Times New Roman"/>
          <w:b w:val="0"/>
          <w:i/>
          <w:sz w:val="24"/>
        </w:rPr>
        <w:t>(Values to be filled from output/vuca_monthly.parquet — run after pipeline)</w:t>
      </w:r>
      <w:r>
        <w:rPr>
          <w:rFonts w:ascii="Times New Roman" w:hAnsi="Times New Roman"/>
          <w:b w:val="0"/>
          <w:i w:val="0"/>
          <w:sz w:val="24"/>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360" w:lineRule="exact"/>
            </w:pPr>
            <w:r/>
            <w:r>
              <w:rPr>
                <w:rFonts w:ascii="Times New Roman" w:hAnsi="Times New Roman"/>
                <w:b/>
                <w:i w:val="0"/>
                <w:sz w:val="20"/>
              </w:rPr>
            </w:r>
          </w:p>
        </w:tc>
        <w:tc>
          <w:tcPr>
            <w:tcW w:type="dxa" w:w="1872"/>
          </w:tcPr>
          <w:p>
            <w:pPr>
              <w:spacing w:line="360" w:lineRule="exact"/>
            </w:pPr>
            <w:r/>
            <w:r>
              <w:rPr>
                <w:rFonts w:ascii="Times New Roman" w:hAnsi="Times New Roman"/>
                <w:b/>
                <w:i w:val="0"/>
                <w:sz w:val="20"/>
              </w:rPr>
              <w:t>V_score</w:t>
            </w:r>
          </w:p>
        </w:tc>
        <w:tc>
          <w:tcPr>
            <w:tcW w:type="dxa" w:w="1872"/>
          </w:tcPr>
          <w:p>
            <w:pPr>
              <w:spacing w:line="360" w:lineRule="exact"/>
            </w:pPr>
            <w:r/>
            <w:r>
              <w:rPr>
                <w:rFonts w:ascii="Times New Roman" w:hAnsi="Times New Roman"/>
                <w:b/>
                <w:i w:val="0"/>
                <w:sz w:val="20"/>
              </w:rPr>
              <w:t>U_score</w:t>
            </w:r>
          </w:p>
        </w:tc>
        <w:tc>
          <w:tcPr>
            <w:tcW w:type="dxa" w:w="1872"/>
          </w:tcPr>
          <w:p>
            <w:pPr>
              <w:spacing w:line="360" w:lineRule="exact"/>
            </w:pPr>
            <w:r/>
            <w:r>
              <w:rPr>
                <w:rFonts w:ascii="Times New Roman" w:hAnsi="Times New Roman"/>
                <w:b/>
                <w:i w:val="0"/>
                <w:sz w:val="20"/>
              </w:rPr>
              <w:t>C_score</w:t>
            </w:r>
          </w:p>
        </w:tc>
        <w:tc>
          <w:tcPr>
            <w:tcW w:type="dxa" w:w="1872"/>
          </w:tcPr>
          <w:p>
            <w:pPr>
              <w:spacing w:line="360" w:lineRule="exact"/>
            </w:pPr>
            <w:r/>
            <w:r>
              <w:rPr>
                <w:rFonts w:ascii="Times New Roman" w:hAnsi="Times New Roman"/>
                <w:b/>
                <w:i w:val="0"/>
                <w:sz w:val="20"/>
              </w:rPr>
              <w:t>A_score</w:t>
            </w:r>
          </w:p>
        </w:tc>
      </w:tr>
      <w:tr>
        <w:tc>
          <w:tcPr>
            <w:tcW w:type="dxa" w:w="1872"/>
          </w:tcPr>
          <w:p>
            <w:pPr>
              <w:spacing w:line="360" w:lineRule="exact"/>
            </w:pPr>
            <w:r/>
            <w:r>
              <w:rPr>
                <w:rFonts w:ascii="Times New Roman" w:hAnsi="Times New Roman"/>
                <w:b w:val="0"/>
                <w:i w:val="0"/>
                <w:sz w:val="20"/>
              </w:rPr>
              <w:t>Full sample mean</w:t>
            </w:r>
          </w:p>
        </w:tc>
        <w:tc>
          <w:tcPr>
            <w:tcW w:type="dxa" w:w="1872"/>
          </w:tcPr>
          <w:p>
            <w:pPr>
              <w:spacing w:line="360" w:lineRule="exact"/>
            </w:pPr>
            <w:r/>
            <w:r>
              <w:rPr>
                <w:rFonts w:ascii="Times New Roman" w:hAnsi="Times New Roman"/>
                <w:b w:val="0"/>
                <w:i w:val="0"/>
                <w:sz w:val="20"/>
              </w:rPr>
              <w:t>0.022</w:t>
            </w:r>
          </w:p>
        </w:tc>
        <w:tc>
          <w:tcPr>
            <w:tcW w:type="dxa" w:w="1872"/>
          </w:tcPr>
          <w:p>
            <w:pPr>
              <w:spacing w:line="360" w:lineRule="exact"/>
            </w:pPr>
            <w:r/>
            <w:r>
              <w:rPr>
                <w:rFonts w:ascii="Times New Roman" w:hAnsi="Times New Roman"/>
                <w:b w:val="0"/>
                <w:i w:val="0"/>
                <w:sz w:val="20"/>
              </w:rPr>
              <w:t>−0.396</w:t>
            </w:r>
          </w:p>
        </w:tc>
        <w:tc>
          <w:tcPr>
            <w:tcW w:type="dxa" w:w="1872"/>
          </w:tcPr>
          <w:p>
            <w:pPr>
              <w:spacing w:line="360" w:lineRule="exact"/>
            </w:pPr>
            <w:r/>
            <w:r>
              <w:rPr>
                <w:rFonts w:ascii="Times New Roman" w:hAnsi="Times New Roman"/>
                <w:b w:val="0"/>
                <w:i w:val="0"/>
                <w:sz w:val="20"/>
              </w:rPr>
              <w:t>0.794</w:t>
            </w:r>
          </w:p>
        </w:tc>
        <w:tc>
          <w:tcPr>
            <w:tcW w:type="dxa" w:w="1872"/>
          </w:tcPr>
          <w:p>
            <w:pPr>
              <w:spacing w:line="360" w:lineRule="exact"/>
            </w:pPr>
            <w:r/>
            <w:r>
              <w:rPr>
                <w:rFonts w:ascii="Times New Roman" w:hAnsi="Times New Roman"/>
                <w:b w:val="0"/>
                <w:i w:val="0"/>
                <w:sz w:val="20"/>
              </w:rPr>
              <w:t>−0.160</w:t>
            </w:r>
          </w:p>
        </w:tc>
      </w:tr>
      <w:tr>
        <w:tc>
          <w:tcPr>
            <w:tcW w:type="dxa" w:w="1872"/>
          </w:tcPr>
          <w:p>
            <w:pPr>
              <w:spacing w:line="360" w:lineRule="exact"/>
            </w:pPr>
            <w:r/>
            <w:r>
              <w:rPr>
                <w:rFonts w:ascii="Times New Roman" w:hAnsi="Times New Roman"/>
                <w:b w:val="0"/>
                <w:i w:val="0"/>
                <w:sz w:val="20"/>
              </w:rPr>
              <w:t>Full sample SD</w:t>
            </w:r>
          </w:p>
        </w:tc>
        <w:tc>
          <w:tcPr>
            <w:tcW w:type="dxa" w:w="1872"/>
          </w:tcPr>
          <w:p>
            <w:pPr>
              <w:spacing w:line="360" w:lineRule="exact"/>
            </w:pPr>
            <w:r/>
            <w:r>
              <w:rPr>
                <w:rFonts w:ascii="Times New Roman" w:hAnsi="Times New Roman"/>
                <w:b w:val="0"/>
                <w:i w:val="0"/>
                <w:sz w:val="20"/>
              </w:rPr>
              <w:t>0.812</w:t>
            </w:r>
          </w:p>
        </w:tc>
        <w:tc>
          <w:tcPr>
            <w:tcW w:type="dxa" w:w="1872"/>
          </w:tcPr>
          <w:p>
            <w:pPr>
              <w:spacing w:line="360" w:lineRule="exact"/>
            </w:pPr>
            <w:r/>
            <w:r>
              <w:rPr>
                <w:rFonts w:ascii="Times New Roman" w:hAnsi="Times New Roman"/>
                <w:b w:val="0"/>
                <w:i w:val="0"/>
                <w:sz w:val="20"/>
              </w:rPr>
              <w:t>0.850</w:t>
            </w:r>
          </w:p>
        </w:tc>
        <w:tc>
          <w:tcPr>
            <w:tcW w:type="dxa" w:w="1872"/>
          </w:tcPr>
          <w:p>
            <w:pPr>
              <w:spacing w:line="360" w:lineRule="exact"/>
            </w:pPr>
            <w:r/>
            <w:r>
              <w:rPr>
                <w:rFonts w:ascii="Times New Roman" w:hAnsi="Times New Roman"/>
                <w:b w:val="0"/>
                <w:i w:val="0"/>
                <w:sz w:val="20"/>
              </w:rPr>
              <w:t>0.968</w:t>
            </w:r>
          </w:p>
        </w:tc>
        <w:tc>
          <w:tcPr>
            <w:tcW w:type="dxa" w:w="1872"/>
          </w:tcPr>
          <w:p>
            <w:pPr>
              <w:spacing w:line="360" w:lineRule="exact"/>
            </w:pPr>
            <w:r/>
            <w:r>
              <w:rPr>
                <w:rFonts w:ascii="Times New Roman" w:hAnsi="Times New Roman"/>
                <w:b w:val="0"/>
                <w:i w:val="0"/>
                <w:sz w:val="20"/>
              </w:rPr>
              <w:t>0.449</w:t>
            </w:r>
          </w:p>
        </w:tc>
      </w:tr>
      <w:tr>
        <w:tc>
          <w:tcPr>
            <w:tcW w:type="dxa" w:w="1872"/>
          </w:tcPr>
          <w:p>
            <w:pPr>
              <w:spacing w:line="360" w:lineRule="exact"/>
            </w:pPr>
            <w:r/>
            <w:r>
              <w:rPr>
                <w:rFonts w:ascii="Times New Roman" w:hAnsi="Times New Roman"/>
                <w:b w:val="0"/>
                <w:i w:val="0"/>
                <w:sz w:val="20"/>
              </w:rPr>
              <w:t>Baseline mean (2016–2019)</w:t>
            </w:r>
          </w:p>
        </w:tc>
        <w:tc>
          <w:tcPr>
            <w:tcW w:type="dxa" w:w="1872"/>
          </w:tcPr>
          <w:p>
            <w:pPr>
              <w:spacing w:line="360" w:lineRule="exact"/>
            </w:pPr>
            <w:r/>
            <w:r>
              <w:rPr>
                <w:rFonts w:ascii="Times New Roman" w:hAnsi="Times New Roman"/>
                <w:b w:val="0"/>
                <w:i w:val="0"/>
                <w:sz w:val="20"/>
              </w:rPr>
              <w:t>−0.007</w:t>
            </w:r>
          </w:p>
        </w:tc>
        <w:tc>
          <w:tcPr>
            <w:tcW w:type="dxa" w:w="1872"/>
          </w:tcPr>
          <w:p>
            <w:pPr>
              <w:spacing w:line="360" w:lineRule="exact"/>
            </w:pPr>
            <w:r/>
            <w:r>
              <w:rPr>
                <w:rFonts w:ascii="Times New Roman" w:hAnsi="Times New Roman"/>
                <w:b w:val="0"/>
                <w:i w:val="0"/>
                <w:sz w:val="20"/>
              </w:rPr>
              <w:t>0.000</w:t>
            </w:r>
          </w:p>
        </w:tc>
        <w:tc>
          <w:tcPr>
            <w:tcW w:type="dxa" w:w="1872"/>
          </w:tcPr>
          <w:p>
            <w:pPr>
              <w:spacing w:line="360" w:lineRule="exact"/>
            </w:pPr>
            <w:r/>
            <w:r>
              <w:rPr>
                <w:rFonts w:ascii="Times New Roman" w:hAnsi="Times New Roman"/>
                <w:b w:val="0"/>
                <w:i w:val="0"/>
                <w:sz w:val="20"/>
              </w:rPr>
              <w:t>−0.000</w:t>
            </w:r>
          </w:p>
        </w:tc>
        <w:tc>
          <w:tcPr>
            <w:tcW w:type="dxa" w:w="1872"/>
          </w:tcPr>
          <w:p>
            <w:pPr>
              <w:spacing w:line="360" w:lineRule="exact"/>
            </w:pPr>
            <w:r/>
            <w:r>
              <w:rPr>
                <w:rFonts w:ascii="Times New Roman" w:hAnsi="Times New Roman"/>
                <w:b w:val="0"/>
                <w:i w:val="0"/>
                <w:sz w:val="20"/>
              </w:rPr>
              <w:t>−0.000</w:t>
            </w:r>
          </w:p>
        </w:tc>
      </w:tr>
      <w:tr>
        <w:tc>
          <w:tcPr>
            <w:tcW w:type="dxa" w:w="1872"/>
          </w:tcPr>
          <w:p>
            <w:pPr>
              <w:spacing w:line="360" w:lineRule="exact"/>
            </w:pPr>
            <w:r/>
            <w:r>
              <w:rPr>
                <w:rFonts w:ascii="Times New Roman" w:hAnsi="Times New Roman"/>
                <w:b w:val="0"/>
                <w:i w:val="0"/>
                <w:sz w:val="20"/>
              </w:rPr>
              <w:t>Baseline SD (2016–2019)</w:t>
            </w:r>
          </w:p>
        </w:tc>
        <w:tc>
          <w:tcPr>
            <w:tcW w:type="dxa" w:w="1872"/>
          </w:tcPr>
          <w:p>
            <w:pPr>
              <w:spacing w:line="360" w:lineRule="exact"/>
            </w:pPr>
            <w:r/>
            <w:r>
              <w:rPr>
                <w:rFonts w:ascii="Times New Roman" w:hAnsi="Times New Roman"/>
                <w:b w:val="0"/>
                <w:i w:val="0"/>
                <w:sz w:val="20"/>
              </w:rPr>
              <w:t>0.787</w:t>
            </w:r>
          </w:p>
        </w:tc>
        <w:tc>
          <w:tcPr>
            <w:tcW w:type="dxa" w:w="1872"/>
          </w:tcPr>
          <w:p>
            <w:pPr>
              <w:spacing w:line="360" w:lineRule="exact"/>
            </w:pPr>
            <w:r/>
            <w:r>
              <w:rPr>
                <w:rFonts w:ascii="Times New Roman" w:hAnsi="Times New Roman"/>
                <w:b w:val="0"/>
                <w:i w:val="0"/>
                <w:sz w:val="20"/>
              </w:rPr>
              <w:t>0.772</w:t>
            </w:r>
          </w:p>
        </w:tc>
        <w:tc>
          <w:tcPr>
            <w:tcW w:type="dxa" w:w="1872"/>
          </w:tcPr>
          <w:p>
            <w:pPr>
              <w:spacing w:line="360" w:lineRule="exact"/>
            </w:pPr>
            <w:r/>
            <w:r>
              <w:rPr>
                <w:rFonts w:ascii="Times New Roman" w:hAnsi="Times New Roman"/>
                <w:b w:val="0"/>
                <w:i w:val="0"/>
                <w:sz w:val="20"/>
              </w:rPr>
              <w:t>0.687</w:t>
            </w:r>
          </w:p>
        </w:tc>
        <w:tc>
          <w:tcPr>
            <w:tcW w:type="dxa" w:w="1872"/>
          </w:tcPr>
          <w:p>
            <w:pPr>
              <w:spacing w:line="360" w:lineRule="exact"/>
            </w:pPr>
            <w:r/>
            <w:r>
              <w:rPr>
                <w:rFonts w:ascii="Times New Roman" w:hAnsi="Times New Roman"/>
                <w:b w:val="0"/>
                <w:i w:val="0"/>
                <w:sz w:val="20"/>
              </w:rPr>
              <w:t>0.517</w:t>
            </w:r>
          </w:p>
        </w:tc>
      </w:tr>
      <w:tr>
        <w:tc>
          <w:tcPr>
            <w:tcW w:type="dxa" w:w="1872"/>
          </w:tcPr>
          <w:p>
            <w:pPr>
              <w:spacing w:line="360" w:lineRule="exact"/>
            </w:pPr>
            <w:r/>
            <w:r>
              <w:rPr>
                <w:rFonts w:ascii="Times New Roman" w:hAnsi="Times New Roman"/>
                <w:b w:val="0"/>
                <w:i w:val="0"/>
                <w:sz w:val="20"/>
              </w:rPr>
              <w:t>Min</w:t>
            </w:r>
          </w:p>
        </w:tc>
        <w:tc>
          <w:tcPr>
            <w:tcW w:type="dxa" w:w="1872"/>
          </w:tcPr>
          <w:p>
            <w:pPr>
              <w:spacing w:line="360" w:lineRule="exact"/>
            </w:pPr>
            <w:r/>
            <w:r>
              <w:rPr>
                <w:rFonts w:ascii="Times New Roman" w:hAnsi="Times New Roman"/>
                <w:b w:val="0"/>
                <w:i w:val="0"/>
                <w:sz w:val="20"/>
              </w:rPr>
              <w:t>−1.781</w:t>
            </w:r>
          </w:p>
        </w:tc>
        <w:tc>
          <w:tcPr>
            <w:tcW w:type="dxa" w:w="1872"/>
          </w:tcPr>
          <w:p>
            <w:pPr>
              <w:spacing w:line="360" w:lineRule="exact"/>
            </w:pPr>
            <w:r/>
            <w:r>
              <w:rPr>
                <w:rFonts w:ascii="Times New Roman" w:hAnsi="Times New Roman"/>
                <w:b w:val="0"/>
                <w:i w:val="0"/>
                <w:sz w:val="20"/>
              </w:rPr>
              <w:t>−2.394</w:t>
            </w:r>
          </w:p>
        </w:tc>
        <w:tc>
          <w:tcPr>
            <w:tcW w:type="dxa" w:w="1872"/>
          </w:tcPr>
          <w:p>
            <w:pPr>
              <w:spacing w:line="360" w:lineRule="exact"/>
            </w:pPr>
            <w:r/>
            <w:r>
              <w:rPr>
                <w:rFonts w:ascii="Times New Roman" w:hAnsi="Times New Roman"/>
                <w:b w:val="0"/>
                <w:i w:val="0"/>
                <w:sz w:val="20"/>
              </w:rPr>
              <w:t>−1.368</w:t>
            </w:r>
          </w:p>
        </w:tc>
        <w:tc>
          <w:tcPr>
            <w:tcW w:type="dxa" w:w="1872"/>
          </w:tcPr>
          <w:p>
            <w:pPr>
              <w:spacing w:line="360" w:lineRule="exact"/>
            </w:pPr>
            <w:r/>
            <w:r>
              <w:rPr>
                <w:rFonts w:ascii="Times New Roman" w:hAnsi="Times New Roman"/>
                <w:b w:val="0"/>
                <w:i w:val="0"/>
                <w:sz w:val="20"/>
              </w:rPr>
              <w:t>−0.987</w:t>
            </w:r>
          </w:p>
        </w:tc>
      </w:tr>
      <w:tr>
        <w:tc>
          <w:tcPr>
            <w:tcW w:type="dxa" w:w="1872"/>
          </w:tcPr>
          <w:p>
            <w:pPr>
              <w:spacing w:line="360" w:lineRule="exact"/>
            </w:pPr>
            <w:r/>
            <w:r>
              <w:rPr>
                <w:rFonts w:ascii="Times New Roman" w:hAnsi="Times New Roman"/>
                <w:b w:val="0"/>
                <w:i w:val="0"/>
                <w:sz w:val="20"/>
              </w:rPr>
              <w:t>Max</w:t>
            </w:r>
          </w:p>
        </w:tc>
        <w:tc>
          <w:tcPr>
            <w:tcW w:type="dxa" w:w="1872"/>
          </w:tcPr>
          <w:p>
            <w:pPr>
              <w:spacing w:line="360" w:lineRule="exact"/>
            </w:pPr>
            <w:r/>
            <w:r>
              <w:rPr>
                <w:rFonts w:ascii="Times New Roman" w:hAnsi="Times New Roman"/>
                <w:b w:val="0"/>
                <w:i w:val="0"/>
                <w:sz w:val="20"/>
              </w:rPr>
              <w:t>2.055</w:t>
            </w:r>
          </w:p>
        </w:tc>
        <w:tc>
          <w:tcPr>
            <w:tcW w:type="dxa" w:w="1872"/>
          </w:tcPr>
          <w:p>
            <w:pPr>
              <w:spacing w:line="360" w:lineRule="exact"/>
            </w:pPr>
            <w:r/>
            <w:r>
              <w:rPr>
                <w:rFonts w:ascii="Times New Roman" w:hAnsi="Times New Roman"/>
                <w:b w:val="0"/>
                <w:i w:val="0"/>
                <w:sz w:val="20"/>
              </w:rPr>
              <w:t>1.764</w:t>
            </w:r>
          </w:p>
        </w:tc>
        <w:tc>
          <w:tcPr>
            <w:tcW w:type="dxa" w:w="1872"/>
          </w:tcPr>
          <w:p>
            <w:pPr>
              <w:spacing w:line="360" w:lineRule="exact"/>
            </w:pPr>
            <w:r/>
            <w:r>
              <w:rPr>
                <w:rFonts w:ascii="Times New Roman" w:hAnsi="Times New Roman"/>
                <w:b w:val="0"/>
                <w:i w:val="0"/>
                <w:sz w:val="20"/>
              </w:rPr>
              <w:t>2.513</w:t>
            </w:r>
          </w:p>
        </w:tc>
        <w:tc>
          <w:tcPr>
            <w:tcW w:type="dxa" w:w="1872"/>
          </w:tcPr>
          <w:p>
            <w:pPr>
              <w:spacing w:line="360" w:lineRule="exact"/>
            </w:pPr>
            <w:r/>
            <w:r>
              <w:rPr>
                <w:rFonts w:ascii="Times New Roman" w:hAnsi="Times New Roman"/>
                <w:b w:val="0"/>
                <w:i w:val="0"/>
                <w:sz w:val="20"/>
              </w:rPr>
              <w:t>1.525</w:t>
            </w:r>
          </w:p>
        </w:tc>
      </w:tr>
      <w:tr>
        <w:tc>
          <w:tcPr>
            <w:tcW w:type="dxa" w:w="1872"/>
          </w:tcPr>
          <w:p>
            <w:pPr>
              <w:spacing w:line="360" w:lineRule="exact"/>
            </w:pPr>
            <w:r/>
            <w:r>
              <w:rPr>
                <w:rFonts w:ascii="Times New Roman" w:hAnsi="Times New Roman"/>
                <w:b w:val="0"/>
                <w:i w:val="0"/>
                <w:sz w:val="20"/>
              </w:rPr>
              <w:t>Observations</w:t>
            </w:r>
          </w:p>
        </w:tc>
        <w:tc>
          <w:tcPr>
            <w:tcW w:type="dxa" w:w="1872"/>
          </w:tcPr>
          <w:p>
            <w:pPr>
              <w:spacing w:line="360" w:lineRule="exact"/>
            </w:pPr>
            <w:r/>
            <w:r>
              <w:rPr>
                <w:rFonts w:ascii="Times New Roman" w:hAnsi="Times New Roman"/>
                <w:b w:val="0"/>
                <w:i w:val="0"/>
                <w:sz w:val="20"/>
              </w:rPr>
              <w:t>122</w:t>
            </w:r>
          </w:p>
        </w:tc>
        <w:tc>
          <w:tcPr>
            <w:tcW w:type="dxa" w:w="1872"/>
          </w:tcPr>
          <w:p>
            <w:pPr>
              <w:spacing w:line="360" w:lineRule="exact"/>
            </w:pPr>
            <w:r/>
            <w:r>
              <w:rPr>
                <w:rFonts w:ascii="Times New Roman" w:hAnsi="Times New Roman"/>
                <w:b w:val="0"/>
                <w:i w:val="0"/>
                <w:sz w:val="20"/>
              </w:rPr>
              <w:t>123</w:t>
            </w:r>
          </w:p>
        </w:tc>
        <w:tc>
          <w:tcPr>
            <w:tcW w:type="dxa" w:w="1872"/>
          </w:tcPr>
          <w:p>
            <w:pPr>
              <w:spacing w:line="360" w:lineRule="exact"/>
            </w:pPr>
            <w:r/>
            <w:r>
              <w:rPr>
                <w:rFonts w:ascii="Times New Roman" w:hAnsi="Times New Roman"/>
                <w:b w:val="0"/>
                <w:i w:val="0"/>
                <w:sz w:val="20"/>
              </w:rPr>
              <w:t>120</w:t>
            </w:r>
          </w:p>
        </w:tc>
        <w:tc>
          <w:tcPr>
            <w:tcW w:type="dxa" w:w="1872"/>
          </w:tcPr>
          <w:p>
            <w:pPr>
              <w:spacing w:line="360" w:lineRule="exact"/>
            </w:pPr>
            <w:r/>
            <w:r>
              <w:rPr>
                <w:rFonts w:ascii="Times New Roman" w:hAnsi="Times New Roman"/>
                <w:b w:val="0"/>
                <w:i w:val="0"/>
                <w:sz w:val="20"/>
              </w:rPr>
              <w:t>123</w:t>
            </w:r>
          </w:p>
        </w:tc>
      </w:tr>
    </w:tbl>
    <w:p/>
    <w:p>
      <w:pPr>
        <w:spacing w:after="40" w:before="0" w:line="480" w:lineRule="exact"/>
        <w:jc w:val="left"/>
      </w:pPr>
      <w:r>
        <w:rPr>
          <w:rFonts w:ascii="Times New Roman" w:hAnsi="Times New Roman"/>
          <w:b/>
          <w:i w:val="0"/>
          <w:sz w:val="24"/>
        </w:rPr>
        <w:t>Table 3. Convergent Validity — Correlations with AEB</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360" w:lineRule="exact"/>
            </w:pPr>
            <w:r/>
            <w:r>
              <w:rPr>
                <w:rFonts w:ascii="Times New Roman" w:hAnsi="Times New Roman"/>
                <w:b/>
                <w:i w:val="0"/>
                <w:sz w:val="20"/>
              </w:rPr>
              <w:t>VUCA Dimension</w:t>
            </w:r>
          </w:p>
        </w:tc>
        <w:tc>
          <w:tcPr>
            <w:tcW w:type="dxa" w:w="1872"/>
          </w:tcPr>
          <w:p>
            <w:pPr>
              <w:spacing w:line="360" w:lineRule="exact"/>
            </w:pPr>
            <w:r/>
            <w:r>
              <w:rPr>
                <w:rFonts w:ascii="Times New Roman" w:hAnsi="Times New Roman"/>
                <w:b/>
                <w:i w:val="0"/>
                <w:sz w:val="20"/>
              </w:rPr>
              <w:t>Pearson r</w:t>
            </w:r>
          </w:p>
        </w:tc>
        <w:tc>
          <w:tcPr>
            <w:tcW w:type="dxa" w:w="1872"/>
          </w:tcPr>
          <w:p>
            <w:pPr>
              <w:spacing w:line="360" w:lineRule="exact"/>
            </w:pPr>
            <w:r/>
            <w:r>
              <w:rPr>
                <w:rFonts w:ascii="Times New Roman" w:hAnsi="Times New Roman"/>
                <w:b/>
                <w:i w:val="0"/>
                <w:sz w:val="20"/>
              </w:rPr>
              <w:t>p-value</w:t>
            </w:r>
          </w:p>
        </w:tc>
        <w:tc>
          <w:tcPr>
            <w:tcW w:type="dxa" w:w="1872"/>
          </w:tcPr>
          <w:p>
            <w:pPr>
              <w:spacing w:line="360" w:lineRule="exact"/>
            </w:pPr>
            <w:r/>
            <w:r>
              <w:rPr>
                <w:rFonts w:ascii="Times New Roman" w:hAnsi="Times New Roman"/>
                <w:b/>
                <w:i w:val="0"/>
                <w:sz w:val="20"/>
              </w:rPr>
              <w:t xml:space="preserve">Spearman </w:t>
            </w:r>
          </w:p>
        </w:tc>
        <w:tc>
          <w:tcPr>
            <w:tcW w:type="dxa" w:w="1872"/>
          </w:tcPr>
          <w:p>
            <w:pPr>
              <w:spacing w:line="360" w:lineRule="exact"/>
            </w:pPr>
            <w:r/>
            <w:r>
              <w:rPr>
                <w:rFonts w:ascii="Times New Roman" w:hAnsi="Times New Roman"/>
                <w:b/>
                <w:i w:val="0"/>
                <w:sz w:val="20"/>
              </w:rPr>
              <w:t>p-value</w:t>
            </w:r>
          </w:p>
        </w:tc>
      </w:tr>
      <w:tr>
        <w:tc>
          <w:tcPr>
            <w:tcW w:type="dxa" w:w="1872"/>
          </w:tcPr>
          <w:p>
            <w:pPr>
              <w:spacing w:line="360" w:lineRule="exact"/>
            </w:pPr>
            <w:r/>
            <w:r>
              <w:rPr>
                <w:rFonts w:ascii="Times New Roman" w:hAnsi="Times New Roman"/>
                <w:b w:val="0"/>
                <w:i w:val="0"/>
                <w:sz w:val="20"/>
              </w:rPr>
              <w:t>V — Volatility</w:t>
            </w:r>
          </w:p>
        </w:tc>
        <w:tc>
          <w:tcPr>
            <w:tcW w:type="dxa" w:w="1872"/>
          </w:tcPr>
          <w:p>
            <w:pPr>
              <w:spacing w:line="360" w:lineRule="exact"/>
            </w:pPr>
            <w:r/>
            <w:r>
              <w:rPr>
                <w:rFonts w:ascii="Times New Roman" w:hAnsi="Times New Roman"/>
                <w:b w:val="0"/>
                <w:i w:val="0"/>
                <w:sz w:val="20"/>
              </w:rPr>
              <w:t>0.346</w:t>
            </w:r>
          </w:p>
        </w:tc>
        <w:tc>
          <w:tcPr>
            <w:tcW w:type="dxa" w:w="1872"/>
          </w:tcPr>
          <w:p>
            <w:pPr>
              <w:spacing w:line="360" w:lineRule="exact"/>
            </w:pPr>
            <w:r/>
            <w:r>
              <w:rPr>
                <w:rFonts w:ascii="Times New Roman" w:hAnsi="Times New Roman"/>
                <w:b w:val="0"/>
                <w:i w:val="0"/>
                <w:sz w:val="20"/>
              </w:rPr>
              <w:t>&lt;0.001</w:t>
            </w:r>
          </w:p>
        </w:tc>
        <w:tc>
          <w:tcPr>
            <w:tcW w:type="dxa" w:w="1872"/>
          </w:tcPr>
          <w:p>
            <w:pPr>
              <w:spacing w:line="360" w:lineRule="exact"/>
            </w:pPr>
            <w:r/>
            <w:r>
              <w:rPr>
                <w:rFonts w:ascii="Times New Roman" w:hAnsi="Times New Roman"/>
                <w:b w:val="0"/>
                <w:i w:val="0"/>
                <w:sz w:val="20"/>
              </w:rPr>
              <w:t>0.338</w:t>
            </w:r>
          </w:p>
        </w:tc>
        <w:tc>
          <w:tcPr>
            <w:tcW w:type="dxa" w:w="1872"/>
          </w:tcPr>
          <w:p>
            <w:pPr>
              <w:spacing w:line="360" w:lineRule="exact"/>
            </w:pPr>
            <w:r/>
            <w:r>
              <w:rPr>
                <w:rFonts w:ascii="Times New Roman" w:hAnsi="Times New Roman"/>
                <w:b w:val="0"/>
                <w:i w:val="0"/>
                <w:sz w:val="20"/>
              </w:rPr>
              <w:t>&lt;0.001</w:t>
            </w:r>
          </w:p>
        </w:tc>
      </w:tr>
      <w:tr>
        <w:tc>
          <w:tcPr>
            <w:tcW w:type="dxa" w:w="1872"/>
          </w:tcPr>
          <w:p>
            <w:pPr>
              <w:spacing w:line="360" w:lineRule="exact"/>
            </w:pPr>
            <w:r/>
            <w:r>
              <w:rPr>
                <w:rFonts w:ascii="Times New Roman" w:hAnsi="Times New Roman"/>
                <w:b w:val="0"/>
                <w:i w:val="0"/>
                <w:sz w:val="20"/>
              </w:rPr>
              <w:t>U — Uncertainty</w:t>
            </w:r>
          </w:p>
        </w:tc>
        <w:tc>
          <w:tcPr>
            <w:tcW w:type="dxa" w:w="1872"/>
          </w:tcPr>
          <w:p>
            <w:pPr>
              <w:spacing w:line="360" w:lineRule="exact"/>
            </w:pPr>
            <w:r/>
            <w:r>
              <w:rPr>
                <w:rFonts w:ascii="Times New Roman" w:hAnsi="Times New Roman"/>
                <w:b w:val="0"/>
                <w:i w:val="0"/>
                <w:sz w:val="20"/>
              </w:rPr>
              <w:t>−0.758</w:t>
            </w:r>
          </w:p>
        </w:tc>
        <w:tc>
          <w:tcPr>
            <w:tcW w:type="dxa" w:w="1872"/>
          </w:tcPr>
          <w:p>
            <w:pPr>
              <w:spacing w:line="360" w:lineRule="exact"/>
            </w:pPr>
            <w:r/>
            <w:r>
              <w:rPr>
                <w:rFonts w:ascii="Times New Roman" w:hAnsi="Times New Roman"/>
                <w:b w:val="0"/>
                <w:i w:val="0"/>
                <w:sz w:val="20"/>
              </w:rPr>
              <w:t>&lt;0.001</w:t>
            </w:r>
          </w:p>
        </w:tc>
        <w:tc>
          <w:tcPr>
            <w:tcW w:type="dxa" w:w="1872"/>
          </w:tcPr>
          <w:p>
            <w:pPr>
              <w:spacing w:line="360" w:lineRule="exact"/>
            </w:pPr>
            <w:r/>
            <w:r>
              <w:rPr>
                <w:rFonts w:ascii="Times New Roman" w:hAnsi="Times New Roman"/>
                <w:b w:val="0"/>
                <w:i w:val="0"/>
                <w:sz w:val="20"/>
              </w:rPr>
              <w:t>−0.720</w:t>
            </w:r>
          </w:p>
        </w:tc>
        <w:tc>
          <w:tcPr>
            <w:tcW w:type="dxa" w:w="1872"/>
          </w:tcPr>
          <w:p>
            <w:pPr>
              <w:spacing w:line="360" w:lineRule="exact"/>
            </w:pPr>
            <w:r/>
            <w:r>
              <w:rPr>
                <w:rFonts w:ascii="Times New Roman" w:hAnsi="Times New Roman"/>
                <w:b w:val="0"/>
                <w:i w:val="0"/>
                <w:sz w:val="20"/>
              </w:rPr>
              <w:t>&lt;0.001</w:t>
            </w:r>
          </w:p>
        </w:tc>
      </w:tr>
      <w:tr>
        <w:tc>
          <w:tcPr>
            <w:tcW w:type="dxa" w:w="1872"/>
          </w:tcPr>
          <w:p>
            <w:pPr>
              <w:spacing w:line="360" w:lineRule="exact"/>
            </w:pPr>
            <w:r/>
            <w:r>
              <w:rPr>
                <w:rFonts w:ascii="Times New Roman" w:hAnsi="Times New Roman"/>
                <w:b w:val="0"/>
                <w:i w:val="0"/>
                <w:sz w:val="20"/>
              </w:rPr>
              <w:t>C — Complexity</w:t>
            </w:r>
          </w:p>
        </w:tc>
        <w:tc>
          <w:tcPr>
            <w:tcW w:type="dxa" w:w="1872"/>
          </w:tcPr>
          <w:p>
            <w:pPr>
              <w:spacing w:line="360" w:lineRule="exact"/>
            </w:pPr>
            <w:r/>
            <w:r>
              <w:rPr>
                <w:rFonts w:ascii="Times New Roman" w:hAnsi="Times New Roman"/>
                <w:b w:val="0"/>
                <w:i w:val="0"/>
                <w:sz w:val="20"/>
              </w:rPr>
              <w:t>−0.069</w:t>
            </w:r>
          </w:p>
        </w:tc>
        <w:tc>
          <w:tcPr>
            <w:tcW w:type="dxa" w:w="1872"/>
          </w:tcPr>
          <w:p>
            <w:pPr>
              <w:spacing w:line="360" w:lineRule="exact"/>
            </w:pPr>
            <w:r/>
            <w:r>
              <w:rPr>
                <w:rFonts w:ascii="Times New Roman" w:hAnsi="Times New Roman"/>
                <w:b w:val="0"/>
                <w:i w:val="0"/>
                <w:sz w:val="20"/>
              </w:rPr>
              <w:t>0.456</w:t>
            </w:r>
          </w:p>
        </w:tc>
        <w:tc>
          <w:tcPr>
            <w:tcW w:type="dxa" w:w="1872"/>
          </w:tcPr>
          <w:p>
            <w:pPr>
              <w:spacing w:line="360" w:lineRule="exact"/>
            </w:pPr>
            <w:r/>
            <w:r>
              <w:rPr>
                <w:rFonts w:ascii="Times New Roman" w:hAnsi="Times New Roman"/>
                <w:b w:val="0"/>
                <w:i w:val="0"/>
                <w:sz w:val="20"/>
              </w:rPr>
              <w:t>−0.097</w:t>
            </w:r>
          </w:p>
        </w:tc>
        <w:tc>
          <w:tcPr>
            <w:tcW w:type="dxa" w:w="1872"/>
          </w:tcPr>
          <w:p>
            <w:pPr>
              <w:spacing w:line="360" w:lineRule="exact"/>
            </w:pPr>
            <w:r/>
            <w:r>
              <w:rPr>
                <w:rFonts w:ascii="Times New Roman" w:hAnsi="Times New Roman"/>
                <w:b w:val="0"/>
                <w:i w:val="0"/>
                <w:sz w:val="20"/>
              </w:rPr>
              <w:t>0.290</w:t>
            </w:r>
          </w:p>
        </w:tc>
      </w:tr>
      <w:tr>
        <w:tc>
          <w:tcPr>
            <w:tcW w:type="dxa" w:w="1872"/>
          </w:tcPr>
          <w:p>
            <w:pPr>
              <w:spacing w:line="360" w:lineRule="exact"/>
            </w:pPr>
            <w:r/>
            <w:r>
              <w:rPr>
                <w:rFonts w:ascii="Times New Roman" w:hAnsi="Times New Roman"/>
                <w:b w:val="0"/>
                <w:i w:val="0"/>
                <w:sz w:val="20"/>
              </w:rPr>
              <w:t>A — Ambiguity</w:t>
            </w:r>
          </w:p>
        </w:tc>
        <w:tc>
          <w:tcPr>
            <w:tcW w:type="dxa" w:w="1872"/>
          </w:tcPr>
          <w:p>
            <w:pPr>
              <w:spacing w:line="360" w:lineRule="exact"/>
            </w:pPr>
            <w:r/>
            <w:r>
              <w:rPr>
                <w:rFonts w:ascii="Times New Roman" w:hAnsi="Times New Roman"/>
                <w:b w:val="0"/>
                <w:i w:val="0"/>
                <w:sz w:val="20"/>
              </w:rPr>
              <w:t>−0.240</w:t>
            </w:r>
          </w:p>
        </w:tc>
        <w:tc>
          <w:tcPr>
            <w:tcW w:type="dxa" w:w="1872"/>
          </w:tcPr>
          <w:p>
            <w:pPr>
              <w:spacing w:line="360" w:lineRule="exact"/>
            </w:pPr>
            <w:r/>
            <w:r>
              <w:rPr>
                <w:rFonts w:ascii="Times New Roman" w:hAnsi="Times New Roman"/>
                <w:b w:val="0"/>
                <w:i w:val="0"/>
                <w:sz w:val="20"/>
              </w:rPr>
              <w:t>0.007</w:t>
            </w:r>
          </w:p>
        </w:tc>
        <w:tc>
          <w:tcPr>
            <w:tcW w:type="dxa" w:w="1872"/>
          </w:tcPr>
          <w:p>
            <w:pPr>
              <w:spacing w:line="360" w:lineRule="exact"/>
            </w:pPr>
            <w:r/>
            <w:r>
              <w:rPr>
                <w:rFonts w:ascii="Times New Roman" w:hAnsi="Times New Roman"/>
                <w:b w:val="0"/>
                <w:i w:val="0"/>
                <w:sz w:val="20"/>
              </w:rPr>
              <w:t>−0.173</w:t>
            </w:r>
          </w:p>
        </w:tc>
        <w:tc>
          <w:tcPr>
            <w:tcW w:type="dxa" w:w="1872"/>
          </w:tcPr>
          <w:p>
            <w:pPr>
              <w:spacing w:line="360" w:lineRule="exact"/>
            </w:pPr>
            <w:r/>
            <w:r>
              <w:rPr>
                <w:rFonts w:ascii="Times New Roman" w:hAnsi="Times New Roman"/>
                <w:b w:val="0"/>
                <w:i w:val="0"/>
                <w:sz w:val="20"/>
              </w:rPr>
              <w:t>0.056</w:t>
            </w:r>
          </w:p>
        </w:tc>
      </w:tr>
    </w:tbl>
    <w:p/>
    <w:p>
      <w:pPr>
        <w:spacing w:after="40" w:before="0" w:line="480" w:lineRule="exact"/>
        <w:jc w:val="left"/>
      </w:pPr>
      <w:r>
        <w:rPr>
          <w:rFonts w:ascii="Times New Roman" w:hAnsi="Times New Roman"/>
          <w:b/>
          <w:i w:val="0"/>
          <w:sz w:val="24"/>
        </w:rPr>
        <w:t>Table 4. Discriminant Validity — Cross-Correlation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360" w:lineRule="exact"/>
            </w:pPr>
            <w:r/>
            <w:r>
              <w:rPr>
                <w:rFonts w:ascii="Times New Roman" w:hAnsi="Times New Roman"/>
                <w:b/>
                <w:i w:val="0"/>
                <w:sz w:val="20"/>
              </w:rPr>
            </w:r>
          </w:p>
        </w:tc>
        <w:tc>
          <w:tcPr>
            <w:tcW w:type="dxa" w:w="1872"/>
          </w:tcPr>
          <w:p>
            <w:pPr>
              <w:spacing w:line="360" w:lineRule="exact"/>
            </w:pPr>
            <w:r/>
            <w:r>
              <w:rPr>
                <w:rFonts w:ascii="Times New Roman" w:hAnsi="Times New Roman"/>
                <w:b/>
                <w:i w:val="0"/>
                <w:sz w:val="20"/>
              </w:rPr>
              <w:t>V</w:t>
            </w:r>
          </w:p>
        </w:tc>
        <w:tc>
          <w:tcPr>
            <w:tcW w:type="dxa" w:w="1872"/>
          </w:tcPr>
          <w:p>
            <w:pPr>
              <w:spacing w:line="360" w:lineRule="exact"/>
            </w:pPr>
            <w:r/>
            <w:r>
              <w:rPr>
                <w:rFonts w:ascii="Times New Roman" w:hAnsi="Times New Roman"/>
                <w:b/>
                <w:i w:val="0"/>
                <w:sz w:val="20"/>
              </w:rPr>
              <w:t>U</w:t>
            </w:r>
          </w:p>
        </w:tc>
        <w:tc>
          <w:tcPr>
            <w:tcW w:type="dxa" w:w="1872"/>
          </w:tcPr>
          <w:p>
            <w:pPr>
              <w:spacing w:line="360" w:lineRule="exact"/>
            </w:pPr>
            <w:r/>
            <w:r>
              <w:rPr>
                <w:rFonts w:ascii="Times New Roman" w:hAnsi="Times New Roman"/>
                <w:b/>
                <w:i w:val="0"/>
                <w:sz w:val="20"/>
              </w:rPr>
              <w:t>C</w:t>
            </w:r>
          </w:p>
        </w:tc>
        <w:tc>
          <w:tcPr>
            <w:tcW w:type="dxa" w:w="1872"/>
          </w:tcPr>
          <w:p>
            <w:pPr>
              <w:spacing w:line="360" w:lineRule="exact"/>
            </w:pPr>
            <w:r/>
            <w:r>
              <w:rPr>
                <w:rFonts w:ascii="Times New Roman" w:hAnsi="Times New Roman"/>
                <w:b/>
                <w:i w:val="0"/>
                <w:sz w:val="20"/>
              </w:rPr>
              <w:t>A</w:t>
            </w:r>
          </w:p>
        </w:tc>
      </w:tr>
      <w:tr>
        <w:tc>
          <w:tcPr>
            <w:tcW w:type="dxa" w:w="1872"/>
          </w:tcPr>
          <w:p>
            <w:pPr>
              <w:spacing w:line="360" w:lineRule="exact"/>
            </w:pPr>
            <w:r/>
            <w:r>
              <w:rPr>
                <w:rFonts w:ascii="Times New Roman" w:hAnsi="Times New Roman"/>
                <w:b w:val="0"/>
                <w:i w:val="0"/>
                <w:sz w:val="20"/>
              </w:rPr>
              <w:t>V — Volatility</w:t>
            </w:r>
          </w:p>
        </w:tc>
        <w:tc>
          <w:tcPr>
            <w:tcW w:type="dxa" w:w="1872"/>
          </w:tcPr>
          <w:p>
            <w:pPr>
              <w:spacing w:line="360" w:lineRule="exact"/>
            </w:pPr>
            <w:r/>
            <w:r>
              <w:rPr>
                <w:rFonts w:ascii="Times New Roman" w:hAnsi="Times New Roman"/>
                <w:b w:val="0"/>
                <w:i w:val="0"/>
                <w:sz w:val="20"/>
              </w:rPr>
              <w:t>1.000</w:t>
            </w:r>
          </w:p>
        </w:tc>
        <w:tc>
          <w:tcPr>
            <w:tcW w:type="dxa" w:w="1872"/>
          </w:tcPr>
          <w:p>
            <w:pPr>
              <w:spacing w:line="360" w:lineRule="exact"/>
            </w:pPr>
            <w:r/>
            <w:r>
              <w:rPr>
                <w:rFonts w:ascii="Times New Roman" w:hAnsi="Times New Roman"/>
                <w:b w:val="0"/>
                <w:i w:val="0"/>
                <w:sz w:val="20"/>
              </w:rPr>
            </w:r>
          </w:p>
        </w:tc>
        <w:tc>
          <w:tcPr>
            <w:tcW w:type="dxa" w:w="1872"/>
          </w:tcPr>
          <w:p>
            <w:pPr>
              <w:spacing w:line="360" w:lineRule="exact"/>
            </w:pPr>
            <w:r/>
            <w:r>
              <w:rPr>
                <w:rFonts w:ascii="Times New Roman" w:hAnsi="Times New Roman"/>
                <w:b w:val="0"/>
                <w:i w:val="0"/>
                <w:sz w:val="20"/>
              </w:rPr>
            </w:r>
          </w:p>
        </w:tc>
        <w:tc>
          <w:tcPr>
            <w:tcW w:type="dxa" w:w="1872"/>
          </w:tcPr>
          <w:p>
            <w:pPr>
              <w:spacing w:line="360" w:lineRule="exact"/>
            </w:pPr>
            <w:r/>
            <w:r>
              <w:rPr>
                <w:rFonts w:ascii="Times New Roman" w:hAnsi="Times New Roman"/>
                <w:b w:val="0"/>
                <w:i w:val="0"/>
                <w:sz w:val="20"/>
              </w:rPr>
            </w:r>
          </w:p>
        </w:tc>
      </w:tr>
      <w:tr>
        <w:tc>
          <w:tcPr>
            <w:tcW w:type="dxa" w:w="1872"/>
          </w:tcPr>
          <w:p>
            <w:pPr>
              <w:spacing w:line="360" w:lineRule="exact"/>
            </w:pPr>
            <w:r/>
            <w:r>
              <w:rPr>
                <w:rFonts w:ascii="Times New Roman" w:hAnsi="Times New Roman"/>
                <w:b w:val="0"/>
                <w:i w:val="0"/>
                <w:sz w:val="20"/>
              </w:rPr>
              <w:t>U — Uncertainty</w:t>
            </w:r>
          </w:p>
        </w:tc>
        <w:tc>
          <w:tcPr>
            <w:tcW w:type="dxa" w:w="1872"/>
          </w:tcPr>
          <w:p>
            <w:pPr>
              <w:spacing w:line="360" w:lineRule="exact"/>
            </w:pPr>
            <w:r/>
            <w:r>
              <w:rPr>
                <w:rFonts w:ascii="Times New Roman" w:hAnsi="Times New Roman"/>
                <w:b w:val="0"/>
                <w:i w:val="0"/>
                <w:sz w:val="20"/>
              </w:rPr>
              <w:t>−0.352</w:t>
            </w:r>
          </w:p>
        </w:tc>
        <w:tc>
          <w:tcPr>
            <w:tcW w:type="dxa" w:w="1872"/>
          </w:tcPr>
          <w:p>
            <w:pPr>
              <w:spacing w:line="360" w:lineRule="exact"/>
            </w:pPr>
            <w:r/>
            <w:r>
              <w:rPr>
                <w:rFonts w:ascii="Times New Roman" w:hAnsi="Times New Roman"/>
                <w:b w:val="0"/>
                <w:i w:val="0"/>
                <w:sz w:val="20"/>
              </w:rPr>
              <w:t>1.000</w:t>
            </w:r>
          </w:p>
        </w:tc>
        <w:tc>
          <w:tcPr>
            <w:tcW w:type="dxa" w:w="1872"/>
          </w:tcPr>
          <w:p>
            <w:pPr>
              <w:spacing w:line="360" w:lineRule="exact"/>
            </w:pPr>
            <w:r/>
            <w:r>
              <w:rPr>
                <w:rFonts w:ascii="Times New Roman" w:hAnsi="Times New Roman"/>
                <w:b w:val="0"/>
                <w:i w:val="0"/>
                <w:sz w:val="20"/>
              </w:rPr>
            </w:r>
          </w:p>
        </w:tc>
        <w:tc>
          <w:tcPr>
            <w:tcW w:type="dxa" w:w="1872"/>
          </w:tcPr>
          <w:p>
            <w:pPr>
              <w:spacing w:line="360" w:lineRule="exact"/>
            </w:pPr>
            <w:r/>
            <w:r>
              <w:rPr>
                <w:rFonts w:ascii="Times New Roman" w:hAnsi="Times New Roman"/>
                <w:b w:val="0"/>
                <w:i w:val="0"/>
                <w:sz w:val="20"/>
              </w:rPr>
            </w:r>
          </w:p>
        </w:tc>
      </w:tr>
      <w:tr>
        <w:tc>
          <w:tcPr>
            <w:tcW w:type="dxa" w:w="1872"/>
          </w:tcPr>
          <w:p>
            <w:pPr>
              <w:spacing w:line="360" w:lineRule="exact"/>
            </w:pPr>
            <w:r/>
            <w:r>
              <w:rPr>
                <w:rFonts w:ascii="Times New Roman" w:hAnsi="Times New Roman"/>
                <w:b w:val="0"/>
                <w:i w:val="0"/>
                <w:sz w:val="20"/>
              </w:rPr>
              <w:t>C — Complexity</w:t>
            </w:r>
          </w:p>
        </w:tc>
        <w:tc>
          <w:tcPr>
            <w:tcW w:type="dxa" w:w="1872"/>
          </w:tcPr>
          <w:p>
            <w:pPr>
              <w:spacing w:line="360" w:lineRule="exact"/>
            </w:pPr>
            <w:r/>
            <w:r>
              <w:rPr>
                <w:rFonts w:ascii="Times New Roman" w:hAnsi="Times New Roman"/>
                <w:b w:val="0"/>
                <w:i w:val="0"/>
                <w:sz w:val="20"/>
              </w:rPr>
              <w:t>−0.122</w:t>
            </w:r>
          </w:p>
        </w:tc>
        <w:tc>
          <w:tcPr>
            <w:tcW w:type="dxa" w:w="1872"/>
          </w:tcPr>
          <w:p>
            <w:pPr>
              <w:spacing w:line="360" w:lineRule="exact"/>
            </w:pPr>
            <w:r/>
            <w:r>
              <w:rPr>
                <w:rFonts w:ascii="Times New Roman" w:hAnsi="Times New Roman"/>
                <w:b w:val="0"/>
                <w:i w:val="0"/>
                <w:sz w:val="20"/>
              </w:rPr>
              <w:t>−0.418</w:t>
            </w:r>
          </w:p>
        </w:tc>
        <w:tc>
          <w:tcPr>
            <w:tcW w:type="dxa" w:w="1872"/>
          </w:tcPr>
          <w:p>
            <w:pPr>
              <w:spacing w:line="360" w:lineRule="exact"/>
            </w:pPr>
            <w:r/>
            <w:r>
              <w:rPr>
                <w:rFonts w:ascii="Times New Roman" w:hAnsi="Times New Roman"/>
                <w:b w:val="0"/>
                <w:i w:val="0"/>
                <w:sz w:val="20"/>
              </w:rPr>
              <w:t>1.000</w:t>
            </w:r>
          </w:p>
        </w:tc>
        <w:tc>
          <w:tcPr>
            <w:tcW w:type="dxa" w:w="1872"/>
          </w:tcPr>
          <w:p>
            <w:pPr>
              <w:spacing w:line="360" w:lineRule="exact"/>
            </w:pPr>
            <w:r/>
            <w:r>
              <w:rPr>
                <w:rFonts w:ascii="Times New Roman" w:hAnsi="Times New Roman"/>
                <w:b w:val="0"/>
                <w:i w:val="0"/>
                <w:sz w:val="20"/>
              </w:rPr>
            </w:r>
          </w:p>
        </w:tc>
      </w:tr>
      <w:tr>
        <w:tc>
          <w:tcPr>
            <w:tcW w:type="dxa" w:w="1872"/>
          </w:tcPr>
          <w:p>
            <w:pPr>
              <w:spacing w:line="360" w:lineRule="exact"/>
            </w:pPr>
            <w:r/>
            <w:r>
              <w:rPr>
                <w:rFonts w:ascii="Times New Roman" w:hAnsi="Times New Roman"/>
                <w:b w:val="0"/>
                <w:i w:val="0"/>
                <w:sz w:val="20"/>
              </w:rPr>
              <w:t>A — Ambiguity</w:t>
            </w:r>
          </w:p>
        </w:tc>
        <w:tc>
          <w:tcPr>
            <w:tcW w:type="dxa" w:w="1872"/>
          </w:tcPr>
          <w:p>
            <w:pPr>
              <w:spacing w:line="360" w:lineRule="exact"/>
            </w:pPr>
            <w:r/>
            <w:r>
              <w:rPr>
                <w:rFonts w:ascii="Times New Roman" w:hAnsi="Times New Roman"/>
                <w:b w:val="0"/>
                <w:i w:val="0"/>
                <w:sz w:val="20"/>
              </w:rPr>
              <w:t>0.139</w:t>
            </w:r>
          </w:p>
        </w:tc>
        <w:tc>
          <w:tcPr>
            <w:tcW w:type="dxa" w:w="1872"/>
          </w:tcPr>
          <w:p>
            <w:pPr>
              <w:spacing w:line="360" w:lineRule="exact"/>
            </w:pPr>
            <w:r/>
            <w:r>
              <w:rPr>
                <w:rFonts w:ascii="Times New Roman" w:hAnsi="Times New Roman"/>
                <w:b w:val="0"/>
                <w:i w:val="0"/>
                <w:sz w:val="20"/>
              </w:rPr>
              <w:t>0.365</w:t>
            </w:r>
          </w:p>
        </w:tc>
        <w:tc>
          <w:tcPr>
            <w:tcW w:type="dxa" w:w="1872"/>
          </w:tcPr>
          <w:p>
            <w:pPr>
              <w:spacing w:line="360" w:lineRule="exact"/>
            </w:pPr>
            <w:r/>
            <w:r>
              <w:rPr>
                <w:rFonts w:ascii="Times New Roman" w:hAnsi="Times New Roman"/>
                <w:b w:val="0"/>
                <w:i w:val="0"/>
                <w:sz w:val="20"/>
              </w:rPr>
              <w:t>−0.277</w:t>
            </w:r>
          </w:p>
        </w:tc>
        <w:tc>
          <w:tcPr>
            <w:tcW w:type="dxa" w:w="1872"/>
          </w:tcPr>
          <w:p>
            <w:pPr>
              <w:spacing w:line="360" w:lineRule="exact"/>
            </w:pPr>
            <w:r/>
            <w:r>
              <w:rPr>
                <w:rFonts w:ascii="Times New Roman" w:hAnsi="Times New Roman"/>
                <w:b w:val="0"/>
                <w:i w:val="0"/>
                <w:sz w:val="20"/>
              </w:rPr>
              <w:t>1.000</w:t>
            </w:r>
          </w:p>
        </w:tc>
      </w:tr>
    </w:tbl>
    <w:p/>
    <w:p>
      <w:pPr>
        <w:spacing w:after="40" w:before="0" w:line="480" w:lineRule="exact"/>
        <w:jc w:val="left"/>
      </w:pPr>
      <w:r>
        <w:rPr>
          <w:rFonts w:ascii="Times New Roman" w:hAnsi="Times New Roman"/>
          <w:b/>
          <w:i w:val="0"/>
          <w:sz w:val="24"/>
        </w:rPr>
        <w:t>Table 5. Predictive Validity — Granger Causality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360" w:lineRule="exact"/>
            </w:pPr>
            <w:r/>
            <w:r>
              <w:rPr>
                <w:rFonts w:ascii="Times New Roman" w:hAnsi="Times New Roman"/>
                <w:b/>
                <w:i w:val="0"/>
                <w:sz w:val="20"/>
              </w:rPr>
              <w:t>VUCA → Outcome</w:t>
            </w:r>
          </w:p>
        </w:tc>
        <w:tc>
          <w:tcPr>
            <w:tcW w:type="dxa" w:w="1872"/>
          </w:tcPr>
          <w:p>
            <w:pPr>
              <w:spacing w:line="360" w:lineRule="exact"/>
            </w:pPr>
            <w:r/>
            <w:r>
              <w:rPr>
                <w:rFonts w:ascii="Times New Roman" w:hAnsi="Times New Roman"/>
                <w:b/>
                <w:i w:val="0"/>
                <w:sz w:val="20"/>
              </w:rPr>
              <w:t>Lag</w:t>
            </w:r>
          </w:p>
        </w:tc>
        <w:tc>
          <w:tcPr>
            <w:tcW w:type="dxa" w:w="1872"/>
          </w:tcPr>
          <w:p>
            <w:pPr>
              <w:spacing w:line="360" w:lineRule="exact"/>
            </w:pPr>
            <w:r/>
            <w:r>
              <w:rPr>
                <w:rFonts w:ascii="Times New Roman" w:hAnsi="Times New Roman"/>
                <w:b/>
                <w:i w:val="0"/>
                <w:sz w:val="20"/>
              </w:rPr>
              <w:t>F-stat</w:t>
            </w:r>
          </w:p>
        </w:tc>
        <w:tc>
          <w:tcPr>
            <w:tcW w:type="dxa" w:w="1872"/>
          </w:tcPr>
          <w:p>
            <w:pPr>
              <w:spacing w:line="360" w:lineRule="exact"/>
            </w:pPr>
            <w:r/>
            <w:r>
              <w:rPr>
                <w:rFonts w:ascii="Times New Roman" w:hAnsi="Times New Roman"/>
                <w:b/>
                <w:i w:val="0"/>
                <w:sz w:val="20"/>
              </w:rPr>
              <w:t>p-value</w:t>
            </w:r>
          </w:p>
        </w:tc>
        <w:tc>
          <w:tcPr>
            <w:tcW w:type="dxa" w:w="1872"/>
          </w:tcPr>
          <w:p>
            <w:pPr>
              <w:spacing w:line="360" w:lineRule="exact"/>
            </w:pPr>
            <w:r/>
            <w:r>
              <w:rPr>
                <w:rFonts w:ascii="Times New Roman" w:hAnsi="Times New Roman"/>
                <w:b/>
                <w:i w:val="0"/>
                <w:sz w:val="20"/>
              </w:rPr>
              <w:t>Sig.</w:t>
            </w:r>
          </w:p>
        </w:tc>
      </w:tr>
      <w:tr>
        <w:tc>
          <w:tcPr>
            <w:tcW w:type="dxa" w:w="1872"/>
          </w:tcPr>
          <w:p>
            <w:pPr>
              <w:spacing w:line="360" w:lineRule="exact"/>
            </w:pPr>
            <w:r/>
            <w:r>
              <w:rPr>
                <w:rFonts w:ascii="Times New Roman" w:hAnsi="Times New Roman"/>
                <w:b w:val="0"/>
                <w:i w:val="0"/>
                <w:sz w:val="20"/>
              </w:rPr>
              <w:t>V → Farmland prices</w:t>
            </w:r>
          </w:p>
        </w:tc>
        <w:tc>
          <w:tcPr>
            <w:tcW w:type="dxa" w:w="1872"/>
          </w:tcPr>
          <w:p>
            <w:pPr>
              <w:spacing w:line="360" w:lineRule="exact"/>
            </w:pPr>
            <w:r/>
            <w:r>
              <w:rPr>
                <w:rFonts w:ascii="Times New Roman" w:hAnsi="Times New Roman"/>
                <w:b w:val="0"/>
                <w:i w:val="0"/>
                <w:sz w:val="20"/>
              </w:rPr>
              <w:t>1</w:t>
            </w:r>
          </w:p>
        </w:tc>
        <w:tc>
          <w:tcPr>
            <w:tcW w:type="dxa" w:w="1872"/>
          </w:tcPr>
          <w:p>
            <w:pPr>
              <w:spacing w:line="360" w:lineRule="exact"/>
            </w:pPr>
            <w:r/>
            <w:r>
              <w:rPr>
                <w:rFonts w:ascii="Times New Roman" w:hAnsi="Times New Roman"/>
                <w:b w:val="0"/>
                <w:i w:val="0"/>
                <w:sz w:val="20"/>
              </w:rPr>
              <w:t>5.227</w:t>
            </w:r>
          </w:p>
        </w:tc>
        <w:tc>
          <w:tcPr>
            <w:tcW w:type="dxa" w:w="1872"/>
          </w:tcPr>
          <w:p>
            <w:pPr>
              <w:spacing w:line="360" w:lineRule="exact"/>
            </w:pPr>
            <w:r/>
            <w:r>
              <w:rPr>
                <w:rFonts w:ascii="Times New Roman" w:hAnsi="Times New Roman"/>
                <w:b w:val="0"/>
                <w:i w:val="0"/>
                <w:sz w:val="20"/>
              </w:rPr>
              <w:t>0.024</w:t>
            </w:r>
          </w:p>
        </w:tc>
        <w:tc>
          <w:tcPr>
            <w:tcW w:type="dxa" w:w="1872"/>
          </w:tcPr>
          <w:p>
            <w:pPr>
              <w:spacing w:line="360" w:lineRule="exact"/>
            </w:pPr>
            <w:r/>
            <w:r>
              <w:rPr>
                <w:rFonts w:ascii="Times New Roman" w:hAnsi="Times New Roman"/>
                <w:b/>
                <w:i w:val="0"/>
                <w:sz w:val="20"/>
              </w:rPr>
            </w:r>
          </w:p>
        </w:tc>
      </w:tr>
      <w:tr>
        <w:tc>
          <w:tcPr>
            <w:tcW w:type="dxa" w:w="1872"/>
          </w:tcPr>
          <w:p>
            <w:pPr>
              <w:spacing w:line="360" w:lineRule="exact"/>
            </w:pPr>
            <w:r/>
            <w:r>
              <w:rPr>
                <w:rFonts w:ascii="Times New Roman" w:hAnsi="Times New Roman"/>
                <w:b w:val="0"/>
                <w:i w:val="0"/>
                <w:sz w:val="20"/>
              </w:rPr>
              <w:t>V → Farmland prices</w:t>
            </w:r>
          </w:p>
        </w:tc>
        <w:tc>
          <w:tcPr>
            <w:tcW w:type="dxa" w:w="1872"/>
          </w:tcPr>
          <w:p>
            <w:pPr>
              <w:spacing w:line="360" w:lineRule="exact"/>
            </w:pPr>
            <w:r/>
            <w:r>
              <w:rPr>
                <w:rFonts w:ascii="Times New Roman" w:hAnsi="Times New Roman"/>
                <w:b w:val="0"/>
                <w:i w:val="0"/>
                <w:sz w:val="20"/>
              </w:rPr>
              <w:t>2</w:t>
            </w:r>
          </w:p>
        </w:tc>
        <w:tc>
          <w:tcPr>
            <w:tcW w:type="dxa" w:w="1872"/>
          </w:tcPr>
          <w:p>
            <w:pPr>
              <w:spacing w:line="360" w:lineRule="exact"/>
            </w:pPr>
            <w:r/>
            <w:r>
              <w:rPr>
                <w:rFonts w:ascii="Times New Roman" w:hAnsi="Times New Roman"/>
                <w:b w:val="0"/>
                <w:i w:val="0"/>
                <w:sz w:val="20"/>
              </w:rPr>
              <w:t>3.448</w:t>
            </w:r>
          </w:p>
        </w:tc>
        <w:tc>
          <w:tcPr>
            <w:tcW w:type="dxa" w:w="1872"/>
          </w:tcPr>
          <w:p>
            <w:pPr>
              <w:spacing w:line="360" w:lineRule="exact"/>
            </w:pPr>
            <w:r/>
            <w:r>
              <w:rPr>
                <w:rFonts w:ascii="Times New Roman" w:hAnsi="Times New Roman"/>
                <w:b w:val="0"/>
                <w:i w:val="0"/>
                <w:sz w:val="20"/>
              </w:rPr>
              <w:t>0.035</w:t>
            </w:r>
          </w:p>
        </w:tc>
        <w:tc>
          <w:tcPr>
            <w:tcW w:type="dxa" w:w="1872"/>
          </w:tcPr>
          <w:p>
            <w:pPr>
              <w:spacing w:line="360" w:lineRule="exact"/>
            </w:pPr>
            <w:r/>
            <w:r>
              <w:rPr>
                <w:rFonts w:ascii="Times New Roman" w:hAnsi="Times New Roman"/>
                <w:b/>
                <w:i w:val="0"/>
                <w:sz w:val="20"/>
              </w:rPr>
            </w:r>
          </w:p>
        </w:tc>
      </w:tr>
      <w:tr>
        <w:tc>
          <w:tcPr>
            <w:tcW w:type="dxa" w:w="1872"/>
          </w:tcPr>
          <w:p>
            <w:pPr>
              <w:spacing w:line="360" w:lineRule="exact"/>
            </w:pPr>
            <w:r/>
            <w:r>
              <w:rPr>
                <w:rFonts w:ascii="Times New Roman" w:hAnsi="Times New Roman"/>
                <w:b w:val="0"/>
                <w:i w:val="0"/>
                <w:sz w:val="20"/>
              </w:rPr>
              <w:t>V → Farmland prices</w:t>
            </w:r>
          </w:p>
        </w:tc>
        <w:tc>
          <w:tcPr>
            <w:tcW w:type="dxa" w:w="1872"/>
          </w:tcPr>
          <w:p>
            <w:pPr>
              <w:spacing w:line="360" w:lineRule="exact"/>
            </w:pPr>
            <w:r/>
            <w:r>
              <w:rPr>
                <w:rFonts w:ascii="Times New Roman" w:hAnsi="Times New Roman"/>
                <w:b w:val="0"/>
                <w:i w:val="0"/>
                <w:sz w:val="20"/>
              </w:rPr>
              <w:t>3</w:t>
            </w:r>
          </w:p>
        </w:tc>
        <w:tc>
          <w:tcPr>
            <w:tcW w:type="dxa" w:w="1872"/>
          </w:tcPr>
          <w:p>
            <w:pPr>
              <w:spacing w:line="360" w:lineRule="exact"/>
            </w:pPr>
            <w:r/>
            <w:r>
              <w:rPr>
                <w:rFonts w:ascii="Times New Roman" w:hAnsi="Times New Roman"/>
                <w:b w:val="0"/>
                <w:i w:val="0"/>
                <w:sz w:val="20"/>
              </w:rPr>
              <w:t>3.458</w:t>
            </w:r>
          </w:p>
        </w:tc>
        <w:tc>
          <w:tcPr>
            <w:tcW w:type="dxa" w:w="1872"/>
          </w:tcPr>
          <w:p>
            <w:pPr>
              <w:spacing w:line="360" w:lineRule="exact"/>
            </w:pPr>
            <w:r/>
            <w:r>
              <w:rPr>
                <w:rFonts w:ascii="Times New Roman" w:hAnsi="Times New Roman"/>
                <w:b w:val="0"/>
                <w:i w:val="0"/>
                <w:sz w:val="20"/>
              </w:rPr>
              <w:t>0.019</w:t>
            </w:r>
          </w:p>
        </w:tc>
        <w:tc>
          <w:tcPr>
            <w:tcW w:type="dxa" w:w="1872"/>
          </w:tcPr>
          <w:p>
            <w:pPr>
              <w:spacing w:line="360" w:lineRule="exact"/>
            </w:pPr>
            <w:r/>
            <w:r>
              <w:rPr>
                <w:rFonts w:ascii="Times New Roman" w:hAnsi="Times New Roman"/>
                <w:b/>
                <w:i w:val="0"/>
                <w:sz w:val="20"/>
              </w:rPr>
            </w:r>
          </w:p>
        </w:tc>
      </w:tr>
      <w:tr>
        <w:tc>
          <w:tcPr>
            <w:tcW w:type="dxa" w:w="1872"/>
          </w:tcPr>
          <w:p>
            <w:pPr>
              <w:spacing w:line="360" w:lineRule="exact"/>
            </w:pPr>
            <w:r/>
            <w:r>
              <w:rPr>
                <w:rFonts w:ascii="Times New Roman" w:hAnsi="Times New Roman"/>
                <w:b w:val="0"/>
                <w:i w:val="0"/>
                <w:sz w:val="20"/>
              </w:rPr>
              <w:t>V → Farmland prices</w:t>
            </w:r>
          </w:p>
        </w:tc>
        <w:tc>
          <w:tcPr>
            <w:tcW w:type="dxa" w:w="1872"/>
          </w:tcPr>
          <w:p>
            <w:pPr>
              <w:spacing w:line="360" w:lineRule="exact"/>
            </w:pPr>
            <w:r/>
            <w:r>
              <w:rPr>
                <w:rFonts w:ascii="Times New Roman" w:hAnsi="Times New Roman"/>
                <w:b w:val="0"/>
                <w:i w:val="0"/>
                <w:sz w:val="20"/>
              </w:rPr>
              <w:t>4</w:t>
            </w:r>
          </w:p>
        </w:tc>
        <w:tc>
          <w:tcPr>
            <w:tcW w:type="dxa" w:w="1872"/>
          </w:tcPr>
          <w:p>
            <w:pPr>
              <w:spacing w:line="360" w:lineRule="exact"/>
            </w:pPr>
            <w:r/>
            <w:r>
              <w:rPr>
                <w:rFonts w:ascii="Times New Roman" w:hAnsi="Times New Roman"/>
                <w:b w:val="0"/>
                <w:i w:val="0"/>
                <w:sz w:val="20"/>
              </w:rPr>
              <w:t>2.761</w:t>
            </w:r>
          </w:p>
        </w:tc>
        <w:tc>
          <w:tcPr>
            <w:tcW w:type="dxa" w:w="1872"/>
          </w:tcPr>
          <w:p>
            <w:pPr>
              <w:spacing w:line="360" w:lineRule="exact"/>
            </w:pPr>
            <w:r/>
            <w:r>
              <w:rPr>
                <w:rFonts w:ascii="Times New Roman" w:hAnsi="Times New Roman"/>
                <w:b w:val="0"/>
                <w:i w:val="0"/>
                <w:sz w:val="20"/>
              </w:rPr>
              <w:t>0.032</w:t>
            </w:r>
          </w:p>
        </w:tc>
        <w:tc>
          <w:tcPr>
            <w:tcW w:type="dxa" w:w="1872"/>
          </w:tcPr>
          <w:p>
            <w:pPr>
              <w:spacing w:line="360" w:lineRule="exact"/>
            </w:pPr>
            <w:r/>
            <w:r>
              <w:rPr>
                <w:rFonts w:ascii="Times New Roman" w:hAnsi="Times New Roman"/>
                <w:b/>
                <w:i w:val="0"/>
                <w:sz w:val="20"/>
              </w:rPr>
            </w:r>
          </w:p>
        </w:tc>
      </w:tr>
      <w:tr>
        <w:tc>
          <w:tcPr>
            <w:tcW w:type="dxa" w:w="1872"/>
          </w:tcPr>
          <w:p>
            <w:pPr>
              <w:spacing w:line="360" w:lineRule="exact"/>
            </w:pPr>
            <w:r/>
            <w:r>
              <w:rPr>
                <w:rFonts w:ascii="Times New Roman" w:hAnsi="Times New Roman"/>
                <w:b w:val="0"/>
                <w:i w:val="0"/>
                <w:sz w:val="20"/>
              </w:rPr>
              <w:t>U → Farmland prices</w:t>
            </w:r>
          </w:p>
        </w:tc>
        <w:tc>
          <w:tcPr>
            <w:tcW w:type="dxa" w:w="1872"/>
          </w:tcPr>
          <w:p>
            <w:pPr>
              <w:spacing w:line="360" w:lineRule="exact"/>
            </w:pPr>
            <w:r/>
            <w:r>
              <w:rPr>
                <w:rFonts w:ascii="Times New Roman" w:hAnsi="Times New Roman"/>
                <w:b w:val="0"/>
                <w:i w:val="0"/>
                <w:sz w:val="20"/>
              </w:rPr>
              <w:t>1</w:t>
            </w:r>
          </w:p>
        </w:tc>
        <w:tc>
          <w:tcPr>
            <w:tcW w:type="dxa" w:w="1872"/>
          </w:tcPr>
          <w:p>
            <w:pPr>
              <w:spacing w:line="360" w:lineRule="exact"/>
            </w:pPr>
            <w:r/>
            <w:r>
              <w:rPr>
                <w:rFonts w:ascii="Times New Roman" w:hAnsi="Times New Roman"/>
                <w:b w:val="0"/>
                <w:i w:val="0"/>
                <w:sz w:val="20"/>
              </w:rPr>
              <w:t>3.250</w:t>
            </w:r>
          </w:p>
        </w:tc>
        <w:tc>
          <w:tcPr>
            <w:tcW w:type="dxa" w:w="1872"/>
          </w:tcPr>
          <w:p>
            <w:pPr>
              <w:spacing w:line="360" w:lineRule="exact"/>
            </w:pPr>
            <w:r/>
            <w:r>
              <w:rPr>
                <w:rFonts w:ascii="Times New Roman" w:hAnsi="Times New Roman"/>
                <w:b w:val="0"/>
                <w:i w:val="0"/>
                <w:sz w:val="20"/>
              </w:rPr>
              <w:t>0.074</w:t>
            </w:r>
          </w:p>
        </w:tc>
        <w:tc>
          <w:tcPr>
            <w:tcW w:type="dxa" w:w="1872"/>
          </w:tcPr>
          <w:p>
            <w:pPr>
              <w:spacing w:line="360" w:lineRule="exact"/>
            </w:pPr>
            <w:r/>
            <w:r>
              <w:rPr>
                <w:rFonts w:ascii="Times New Roman" w:hAnsi="Times New Roman"/>
                <w:b w:val="0"/>
                <w:i/>
                <w:sz w:val="20"/>
              </w:rPr>
            </w:r>
          </w:p>
        </w:tc>
      </w:tr>
      <w:tr>
        <w:tc>
          <w:tcPr>
            <w:tcW w:type="dxa" w:w="1872"/>
          </w:tcPr>
          <w:p>
            <w:pPr>
              <w:spacing w:line="360" w:lineRule="exact"/>
            </w:pPr>
            <w:r/>
            <w:r>
              <w:rPr>
                <w:rFonts w:ascii="Times New Roman" w:hAnsi="Times New Roman"/>
                <w:b w:val="0"/>
                <w:i w:val="0"/>
                <w:sz w:val="20"/>
              </w:rPr>
              <w:t>A → Loan volume</w:t>
            </w:r>
          </w:p>
        </w:tc>
        <w:tc>
          <w:tcPr>
            <w:tcW w:type="dxa" w:w="1872"/>
          </w:tcPr>
          <w:p>
            <w:pPr>
              <w:spacing w:line="360" w:lineRule="exact"/>
            </w:pPr>
            <w:r/>
            <w:r>
              <w:rPr>
                <w:rFonts w:ascii="Times New Roman" w:hAnsi="Times New Roman"/>
                <w:b w:val="0"/>
                <w:i w:val="0"/>
                <w:sz w:val="20"/>
              </w:rPr>
              <w:t>2</w:t>
            </w:r>
          </w:p>
        </w:tc>
        <w:tc>
          <w:tcPr>
            <w:tcW w:type="dxa" w:w="1872"/>
          </w:tcPr>
          <w:p>
            <w:pPr>
              <w:spacing w:line="360" w:lineRule="exact"/>
            </w:pPr>
            <w:r/>
            <w:r>
              <w:rPr>
                <w:rFonts w:ascii="Times New Roman" w:hAnsi="Times New Roman"/>
                <w:b w:val="0"/>
                <w:i w:val="0"/>
                <w:sz w:val="20"/>
              </w:rPr>
              <w:t>3.549</w:t>
            </w:r>
          </w:p>
        </w:tc>
        <w:tc>
          <w:tcPr>
            <w:tcW w:type="dxa" w:w="1872"/>
          </w:tcPr>
          <w:p>
            <w:pPr>
              <w:spacing w:line="360" w:lineRule="exact"/>
            </w:pPr>
            <w:r/>
            <w:r>
              <w:rPr>
                <w:rFonts w:ascii="Times New Roman" w:hAnsi="Times New Roman"/>
                <w:b w:val="0"/>
                <w:i w:val="0"/>
                <w:sz w:val="20"/>
              </w:rPr>
              <w:t>0.032</w:t>
            </w:r>
          </w:p>
        </w:tc>
        <w:tc>
          <w:tcPr>
            <w:tcW w:type="dxa" w:w="1872"/>
          </w:tcPr>
          <w:p>
            <w:pPr>
              <w:spacing w:line="360" w:lineRule="exact"/>
            </w:pPr>
            <w:r/>
            <w:r>
              <w:rPr>
                <w:rFonts w:ascii="Times New Roman" w:hAnsi="Times New Roman"/>
                <w:b/>
                <w:i w:val="0"/>
                <w:sz w:val="20"/>
              </w:rPr>
            </w:r>
          </w:p>
        </w:tc>
      </w:tr>
      <w:tr>
        <w:tc>
          <w:tcPr>
            <w:tcW w:type="dxa" w:w="1872"/>
          </w:tcPr>
          <w:p>
            <w:pPr>
              <w:spacing w:line="360" w:lineRule="exact"/>
            </w:pPr>
            <w:r/>
            <w:r>
              <w:rPr>
                <w:rFonts w:ascii="Times New Roman" w:hAnsi="Times New Roman"/>
                <w:b w:val="0"/>
                <w:i w:val="0"/>
                <w:sz w:val="20"/>
              </w:rPr>
              <w:t>A → Loan volume</w:t>
            </w:r>
          </w:p>
        </w:tc>
        <w:tc>
          <w:tcPr>
            <w:tcW w:type="dxa" w:w="1872"/>
          </w:tcPr>
          <w:p>
            <w:pPr>
              <w:spacing w:line="360" w:lineRule="exact"/>
            </w:pPr>
            <w:r/>
            <w:r>
              <w:rPr>
                <w:rFonts w:ascii="Times New Roman" w:hAnsi="Times New Roman"/>
                <w:b w:val="0"/>
                <w:i w:val="0"/>
                <w:sz w:val="20"/>
              </w:rPr>
              <w:t>3</w:t>
            </w:r>
          </w:p>
        </w:tc>
        <w:tc>
          <w:tcPr>
            <w:tcW w:type="dxa" w:w="1872"/>
          </w:tcPr>
          <w:p>
            <w:pPr>
              <w:spacing w:line="360" w:lineRule="exact"/>
            </w:pPr>
            <w:r/>
            <w:r>
              <w:rPr>
                <w:rFonts w:ascii="Times New Roman" w:hAnsi="Times New Roman"/>
                <w:b w:val="0"/>
                <w:i w:val="0"/>
                <w:sz w:val="20"/>
              </w:rPr>
              <w:t>2.361</w:t>
            </w:r>
          </w:p>
        </w:tc>
        <w:tc>
          <w:tcPr>
            <w:tcW w:type="dxa" w:w="1872"/>
          </w:tcPr>
          <w:p>
            <w:pPr>
              <w:spacing w:line="360" w:lineRule="exact"/>
            </w:pPr>
            <w:r/>
            <w:r>
              <w:rPr>
                <w:rFonts w:ascii="Times New Roman" w:hAnsi="Times New Roman"/>
                <w:b w:val="0"/>
                <w:i w:val="0"/>
                <w:sz w:val="20"/>
              </w:rPr>
              <w:t>0.076</w:t>
            </w:r>
          </w:p>
        </w:tc>
        <w:tc>
          <w:tcPr>
            <w:tcW w:type="dxa" w:w="1872"/>
          </w:tcPr>
          <w:p>
            <w:pPr>
              <w:spacing w:line="360" w:lineRule="exact"/>
            </w:pPr>
            <w:r/>
            <w:r>
              <w:rPr>
                <w:rFonts w:ascii="Times New Roman" w:hAnsi="Times New Roman"/>
                <w:b w:val="0"/>
                <w:i/>
                <w:sz w:val="20"/>
              </w:rPr>
            </w:r>
          </w:p>
        </w:tc>
      </w:tr>
      <w:tr>
        <w:tc>
          <w:tcPr>
            <w:tcW w:type="dxa" w:w="1872"/>
          </w:tcPr>
          <w:p>
            <w:pPr>
              <w:spacing w:line="360" w:lineRule="exact"/>
            </w:pPr>
            <w:r/>
            <w:r>
              <w:rPr>
                <w:rFonts w:ascii="Times New Roman" w:hAnsi="Times New Roman"/>
                <w:b w:val="0"/>
                <w:i w:val="0"/>
                <w:sz w:val="20"/>
              </w:rPr>
              <w:t>A → Loan volume</w:t>
            </w:r>
          </w:p>
        </w:tc>
        <w:tc>
          <w:tcPr>
            <w:tcW w:type="dxa" w:w="1872"/>
          </w:tcPr>
          <w:p>
            <w:pPr>
              <w:spacing w:line="360" w:lineRule="exact"/>
            </w:pPr>
            <w:r/>
            <w:r>
              <w:rPr>
                <w:rFonts w:ascii="Times New Roman" w:hAnsi="Times New Roman"/>
                <w:b w:val="0"/>
                <w:i w:val="0"/>
                <w:sz w:val="20"/>
              </w:rPr>
              <w:t>4</w:t>
            </w:r>
          </w:p>
        </w:tc>
        <w:tc>
          <w:tcPr>
            <w:tcW w:type="dxa" w:w="1872"/>
          </w:tcPr>
          <w:p>
            <w:pPr>
              <w:spacing w:line="360" w:lineRule="exact"/>
            </w:pPr>
            <w:r/>
            <w:r>
              <w:rPr>
                <w:rFonts w:ascii="Times New Roman" w:hAnsi="Times New Roman"/>
                <w:b w:val="0"/>
                <w:i w:val="0"/>
                <w:sz w:val="20"/>
              </w:rPr>
              <w:t>2.827</w:t>
            </w:r>
          </w:p>
        </w:tc>
        <w:tc>
          <w:tcPr>
            <w:tcW w:type="dxa" w:w="1872"/>
          </w:tcPr>
          <w:p>
            <w:pPr>
              <w:spacing w:line="360" w:lineRule="exact"/>
            </w:pPr>
            <w:r/>
            <w:r>
              <w:rPr>
                <w:rFonts w:ascii="Times New Roman" w:hAnsi="Times New Roman"/>
                <w:b w:val="0"/>
                <w:i w:val="0"/>
                <w:sz w:val="20"/>
              </w:rPr>
              <w:t>0.028</w:t>
            </w:r>
          </w:p>
        </w:tc>
        <w:tc>
          <w:tcPr>
            <w:tcW w:type="dxa" w:w="1872"/>
          </w:tcPr>
          <w:p>
            <w:pPr>
              <w:spacing w:line="360" w:lineRule="exact"/>
            </w:pPr>
            <w:r/>
            <w:r>
              <w:rPr>
                <w:rFonts w:ascii="Times New Roman" w:hAnsi="Times New Roman"/>
                <w:b/>
                <w:i w:val="0"/>
                <w:sz w:val="20"/>
              </w:rPr>
            </w:r>
          </w:p>
        </w:tc>
      </w:tr>
      <w:tr>
        <w:tc>
          <w:tcPr>
            <w:tcW w:type="dxa" w:w="1872"/>
          </w:tcPr>
          <w:p>
            <w:pPr>
              <w:spacing w:line="360" w:lineRule="exact"/>
            </w:pPr>
            <w:r/>
            <w:r>
              <w:rPr>
                <w:rFonts w:ascii="Times New Roman" w:hAnsi="Times New Roman"/>
                <w:b w:val="0"/>
                <w:i w:val="0"/>
                <w:sz w:val="20"/>
              </w:rPr>
              <w:t>V → Equipment sales</w:t>
            </w:r>
          </w:p>
        </w:tc>
        <w:tc>
          <w:tcPr>
            <w:tcW w:type="dxa" w:w="1872"/>
          </w:tcPr>
          <w:p>
            <w:pPr>
              <w:spacing w:line="360" w:lineRule="exact"/>
            </w:pPr>
            <w:r/>
            <w:r>
              <w:rPr>
                <w:rFonts w:ascii="Times New Roman" w:hAnsi="Times New Roman"/>
                <w:b w:val="0"/>
                <w:i w:val="0"/>
                <w:sz w:val="20"/>
              </w:rPr>
              <w:t>2</w:t>
            </w:r>
          </w:p>
        </w:tc>
        <w:tc>
          <w:tcPr>
            <w:tcW w:type="dxa" w:w="1872"/>
          </w:tcPr>
          <w:p>
            <w:pPr>
              <w:spacing w:line="360" w:lineRule="exact"/>
            </w:pPr>
            <w:r/>
            <w:r>
              <w:rPr>
                <w:rFonts w:ascii="Times New Roman" w:hAnsi="Times New Roman"/>
                <w:b w:val="0"/>
                <w:i w:val="0"/>
                <w:sz w:val="20"/>
              </w:rPr>
              <w:t>2.505</w:t>
            </w:r>
          </w:p>
        </w:tc>
        <w:tc>
          <w:tcPr>
            <w:tcW w:type="dxa" w:w="1872"/>
          </w:tcPr>
          <w:p>
            <w:pPr>
              <w:spacing w:line="360" w:lineRule="exact"/>
            </w:pPr>
            <w:r/>
            <w:r>
              <w:rPr>
                <w:rFonts w:ascii="Times New Roman" w:hAnsi="Times New Roman"/>
                <w:b w:val="0"/>
                <w:i w:val="0"/>
                <w:sz w:val="20"/>
              </w:rPr>
              <w:t>0.086</w:t>
            </w:r>
          </w:p>
        </w:tc>
        <w:tc>
          <w:tcPr>
            <w:tcW w:type="dxa" w:w="1872"/>
          </w:tcPr>
          <w:p>
            <w:pPr>
              <w:spacing w:line="360" w:lineRule="exact"/>
            </w:pPr>
            <w:r/>
            <w:r>
              <w:rPr>
                <w:rFonts w:ascii="Times New Roman" w:hAnsi="Times New Roman"/>
                <w:b w:val="0"/>
                <w:i/>
                <w:sz w:val="20"/>
              </w:rPr>
            </w:r>
          </w:p>
        </w:tc>
      </w:tr>
    </w:tbl>
    <w:p/>
    <w:p>
      <w:pPr>
        <w:spacing w:after="0" w:before="0" w:line="480" w:lineRule="exact"/>
        <w:jc w:val="left"/>
      </w:pPr>
      <w:r>
        <w:rPr>
          <w:rFonts w:ascii="Times New Roman" w:hAnsi="Times New Roman"/>
          <w:b w:val="0"/>
          <w:i w:val="0"/>
          <w:sz w:val="24"/>
        </w:rPr>
      </w:r>
      <w:r>
        <w:rPr>
          <w:rFonts w:ascii="Times New Roman" w:hAnsi="Times New Roman"/>
          <w:b w:val="0"/>
          <w:i/>
          <w:sz w:val="24"/>
        </w:rPr>
        <w:t xml:space="preserve">Note: Only significant results shown (p &lt; 0.10). All series transformed to stationarity prior to testing (ADF confirmed). External series: Creighton University Main Street Economy Survey. </w:t>
      </w:r>
      <w:r>
        <w:rPr>
          <w:rFonts w:ascii="Times New Roman" w:hAnsi="Times New Roman"/>
          <w:b w:val="0"/>
          <w:i w:val="0"/>
          <w:sz w:val="24"/>
        </w:rPr>
      </w:r>
      <w:r>
        <w:rPr>
          <w:rFonts w:ascii="Times New Roman" w:hAnsi="Times New Roman"/>
          <w:b/>
          <w:i w:val="0"/>
          <w:sz w:val="24"/>
        </w:rPr>
        <w:t xml:space="preserve"> p&lt;0.01, </w:t>
      </w:r>
      <w:r>
        <w:rPr>
          <w:rFonts w:ascii="Times New Roman" w:hAnsi="Times New Roman"/>
          <w:b w:val="0"/>
          <w:i w:val="0"/>
          <w:sz w:val="24"/>
        </w:rPr>
        <w:t xml:space="preserve"> p&lt;0.05, </w:t>
      </w:r>
      <w:r>
        <w:rPr>
          <w:rFonts w:ascii="Times New Roman" w:hAnsi="Times New Roman"/>
          <w:b w:val="0"/>
          <w:i/>
          <w:sz w:val="24"/>
        </w:rPr>
        <w:t xml:space="preserve"> p&lt;0.10.</w:t>
      </w:r>
      <w:r>
        <w:rPr>
          <w:rFonts w:ascii="Times New Roman" w:hAnsi="Times New Roman"/>
          <w:b w:val="0"/>
          <w:i w:val="0"/>
          <w:sz w:val="24"/>
        </w:rPr>
      </w:r>
    </w:p>
    <w:p>
      <w:r>
        <w:br w:type="page"/>
      </w:r>
    </w:p>
    <w:p>
      <w:pPr>
        <w:spacing w:after="40" w:before="0" w:line="480" w:lineRule="exact"/>
        <w:jc w:val="left"/>
      </w:pPr>
      <w:r>
        <w:rPr>
          <w:rFonts w:ascii="Times New Roman" w:hAnsi="Times New Roman"/>
          <w:b/>
          <w:i w:val="0"/>
          <w:sz w:val="24"/>
        </w:rPr>
        <w:t>Figures</w:t>
      </w:r>
    </w:p>
    <w:p>
      <w:pPr>
        <w:spacing w:after="120" w:before="0" w:line="480" w:lineRule="exact"/>
        <w:jc w:val="left"/>
      </w:pPr>
      <w:r>
        <w:rPr>
          <w:rFonts w:ascii="Times New Roman" w:hAnsi="Times New Roman"/>
          <w:b w:val="0"/>
          <w:i w:val="0"/>
          <w:sz w:val="24"/>
        </w:rPr>
        <w:t>Figure 1. Monthly Ag Economy Barometer index, October 2015–December 2024, with event annotations. [output/figures/fig1_aeb_vs_time.pdf]</w:t>
      </w:r>
    </w:p>
    <w:p>
      <w:pPr>
        <w:spacing w:after="120" w:before="0" w:line="480" w:lineRule="exact"/>
        <w:jc w:val="left"/>
      </w:pPr>
      <w:r>
        <w:rPr>
          <w:rFonts w:ascii="Times New Roman" w:hAnsi="Times New Roman"/>
          <w:b w:val="0"/>
          <w:i w:val="0"/>
          <w:sz w:val="24"/>
        </w:rPr>
        <w:t>Figure 2. VUCA dimension scores over time (2×2 panel). [output/figures/fig2_vuca_panel.pdf]</w:t>
      </w:r>
    </w:p>
    <w:p>
      <w:pPr>
        <w:spacing w:after="120" w:before="0" w:line="480" w:lineRule="exact"/>
        <w:jc w:val="left"/>
      </w:pPr>
      <w:r>
        <w:rPr>
          <w:rFonts w:ascii="Times New Roman" w:hAnsi="Times New Roman"/>
          <w:b w:val="0"/>
          <w:i w:val="0"/>
          <w:sz w:val="24"/>
        </w:rPr>
        <w:t>Figure 3. Quantitative vs. text-based sub-measure overlays by dimension. [output/figures/fig3_subcomponents.pdf]</w:t>
      </w:r>
    </w:p>
    <w:p>
      <w:pPr>
        <w:spacing w:after="120" w:before="0" w:line="480" w:lineRule="exact"/>
        <w:jc w:val="left"/>
      </w:pPr>
      <w:r>
        <w:rPr>
          <w:rFonts w:ascii="Times New Roman" w:hAnsi="Times New Roman"/>
          <w:b w:val="0"/>
          <w:i w:val="0"/>
          <w:sz w:val="24"/>
        </w:rPr>
        <w:t>Figure 4. Cross-correlation heatmap of VUCA dimensions and AEB. [output/figures/fig4_correlation_heatmap.pdf]</w:t>
      </w:r>
    </w:p>
    <w:p>
      <w:pPr>
        <w:spacing w:after="120" w:before="0" w:line="480" w:lineRule="exact"/>
        <w:jc w:val="left"/>
      </w:pPr>
      <w:r>
        <w:rPr>
          <w:rFonts w:ascii="Times New Roman" w:hAnsi="Times New Roman"/>
          <w:b w:val="0"/>
          <w:i w:val="0"/>
          <w:sz w:val="24"/>
        </w:rPr>
        <w:t>Figure 5. Robustness: 12-month vs. 6-month rolling window for Volatility. [output/figures/fig5_robustness.pdf]</w:t>
      </w:r>
    </w:p>
    <w:p>
      <w:pPr>
        <w:spacing w:after="120" w:before="0" w:line="480" w:lineRule="exact"/>
        <w:jc w:val="left"/>
      </w:pPr>
      <w:r>
        <w:rPr>
          <w:rFonts w:ascii="Times New Roman" w:hAnsi="Times New Roman"/>
          <w:b w:val="0"/>
          <w:i w:val="0"/>
          <w:sz w:val="24"/>
        </w:rPr>
        <w:t>Figure 6. Impulse-response functions: (a) Volatility -&gt; Farmland Prices, (b) Ambiguity -&gt; Loan Volume, (c) Uncertainty -&gt; Farmland Prices. [output/figures/fig6_v_farmland.pdf, fig6_a_loans.pdf, fig6_u_farmland.pdf]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