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3780A" w14:textId="77777777" w:rsidR="0067354F" w:rsidRDefault="00180568">
      <w:bookmarkStart w:id="0" w:name="_Hlk38701717"/>
      <w:bookmarkEnd w:id="0"/>
      <w:r>
        <w:t>Zachery Wolfe</w:t>
      </w:r>
    </w:p>
    <w:p w14:paraId="6F80FE95" w14:textId="54ABDE03" w:rsidR="00180568" w:rsidRPr="000C3321" w:rsidRDefault="00180568" w:rsidP="00180568">
      <w:pPr>
        <w:jc w:val="center"/>
        <w:rPr>
          <w:b/>
          <w:bCs/>
          <w:u w:val="single"/>
        </w:rPr>
      </w:pPr>
      <w:r w:rsidRPr="00180568">
        <w:rPr>
          <w:b/>
          <w:bCs/>
          <w:u w:val="single"/>
        </w:rPr>
        <w:t xml:space="preserve">16S </w:t>
      </w:r>
      <w:proofErr w:type="spellStart"/>
      <w:r w:rsidRPr="00180568">
        <w:rPr>
          <w:b/>
          <w:bCs/>
          <w:u w:val="single"/>
        </w:rPr>
        <w:t>MiSeq</w:t>
      </w:r>
      <w:proofErr w:type="spellEnd"/>
      <w:r w:rsidRPr="00180568">
        <w:rPr>
          <w:b/>
          <w:bCs/>
          <w:u w:val="single"/>
        </w:rPr>
        <w:t xml:space="preserve"> Results: </w:t>
      </w:r>
      <w:r w:rsidR="00100F64">
        <w:rPr>
          <w:b/>
          <w:bCs/>
          <w:u w:val="single"/>
        </w:rPr>
        <w:t>Opportunistic</w:t>
      </w:r>
      <w:r w:rsidR="000C3321">
        <w:rPr>
          <w:b/>
          <w:bCs/>
          <w:u w:val="single"/>
        </w:rPr>
        <w:t xml:space="preserve"> </w:t>
      </w:r>
      <w:r w:rsidR="000C3321" w:rsidRPr="000C3321">
        <w:rPr>
          <w:b/>
          <w:bCs/>
          <w:i/>
          <w:iCs/>
          <w:u w:val="single"/>
        </w:rPr>
        <w:t>Stenotrophomonas</w:t>
      </w:r>
      <w:r w:rsidR="000C3321">
        <w:rPr>
          <w:b/>
          <w:bCs/>
          <w:i/>
          <w:iCs/>
          <w:u w:val="single"/>
        </w:rPr>
        <w:t xml:space="preserve"> </w:t>
      </w:r>
      <w:r w:rsidR="000C3321" w:rsidRPr="00227885">
        <w:rPr>
          <w:b/>
          <w:bCs/>
          <w:u w:val="single"/>
        </w:rPr>
        <w:t>spp</w:t>
      </w:r>
      <w:r w:rsidR="000C3321">
        <w:rPr>
          <w:b/>
          <w:bCs/>
          <w:i/>
          <w:iCs/>
          <w:u w:val="single"/>
        </w:rPr>
        <w:t>.</w:t>
      </w:r>
      <w:r w:rsidR="000C3321">
        <w:rPr>
          <w:b/>
          <w:bCs/>
          <w:u w:val="single"/>
        </w:rPr>
        <w:t xml:space="preserve"> colonizes the gut </w:t>
      </w:r>
      <w:r w:rsidR="00316D5E">
        <w:rPr>
          <w:b/>
          <w:bCs/>
          <w:u w:val="single"/>
        </w:rPr>
        <w:t xml:space="preserve">microbiome </w:t>
      </w:r>
      <w:r w:rsidR="000C3321">
        <w:rPr>
          <w:b/>
          <w:bCs/>
          <w:u w:val="single"/>
        </w:rPr>
        <w:t>of insecticide-resistant German cockroach (</w:t>
      </w:r>
      <w:r w:rsidR="000C3321">
        <w:rPr>
          <w:b/>
          <w:bCs/>
          <w:i/>
          <w:iCs/>
          <w:u w:val="single"/>
        </w:rPr>
        <w:t xml:space="preserve">B. </w:t>
      </w:r>
      <w:proofErr w:type="spellStart"/>
      <w:r w:rsidR="000C3321">
        <w:rPr>
          <w:b/>
          <w:bCs/>
          <w:i/>
          <w:iCs/>
          <w:u w:val="single"/>
        </w:rPr>
        <w:t>germanica</w:t>
      </w:r>
      <w:proofErr w:type="spellEnd"/>
      <w:r w:rsidR="000C3321">
        <w:rPr>
          <w:b/>
          <w:bCs/>
          <w:u w:val="single"/>
        </w:rPr>
        <w:t xml:space="preserve">) </w:t>
      </w:r>
      <w:r w:rsidR="006A72EC">
        <w:rPr>
          <w:b/>
          <w:bCs/>
          <w:u w:val="single"/>
        </w:rPr>
        <w:t>after</w:t>
      </w:r>
      <w:r w:rsidR="000C3321">
        <w:rPr>
          <w:b/>
          <w:bCs/>
          <w:u w:val="single"/>
        </w:rPr>
        <w:t xml:space="preserve"> oral administration of antibiotics</w:t>
      </w:r>
    </w:p>
    <w:p w14:paraId="71F61884" w14:textId="09178388" w:rsidR="00180568" w:rsidRDefault="00180568" w:rsidP="00180568">
      <w:pPr>
        <w:jc w:val="center"/>
      </w:pPr>
    </w:p>
    <w:p w14:paraId="7D0E90FF" w14:textId="74297EDA" w:rsidR="00180568" w:rsidRDefault="00180568" w:rsidP="00180568">
      <w:r>
        <w:rPr>
          <w:b/>
          <w:bCs/>
        </w:rPr>
        <w:t>Introduction</w:t>
      </w:r>
    </w:p>
    <w:p w14:paraId="4993BE92" w14:textId="77777777" w:rsidR="00A845A4" w:rsidRDefault="00CC7C2F" w:rsidP="00CC7C2F">
      <w:r>
        <w:t xml:space="preserve">Research has shown that the gut bacteria in some insect species break down xenobiotics and toxic compounds, facilitating and enhancing an insect’s ability to resist insecticidal compounds (de Almeida </w:t>
      </w:r>
      <w:r w:rsidRPr="00CC7C2F">
        <w:rPr>
          <w:i/>
          <w:iCs/>
        </w:rPr>
        <w:t>et al.</w:t>
      </w:r>
      <w:r>
        <w:t xml:space="preserve"> 2017). The coffee berry borer (</w:t>
      </w:r>
      <w:proofErr w:type="spellStart"/>
      <w:r>
        <w:rPr>
          <w:i/>
        </w:rPr>
        <w:t>Hypothenemus</w:t>
      </w:r>
      <w:proofErr w:type="spellEnd"/>
      <w:r>
        <w:rPr>
          <w:i/>
        </w:rPr>
        <w:t xml:space="preserve"> </w:t>
      </w:r>
      <w:proofErr w:type="spellStart"/>
      <w:r>
        <w:rPr>
          <w:i/>
        </w:rPr>
        <w:t>hampei</w:t>
      </w:r>
      <w:proofErr w:type="spellEnd"/>
      <w:r>
        <w:t xml:space="preserve">), a devastating pest to coffee plantations across the world, has gut microbes that have developed the ability to degrade the insecticidal compound caffeine (Ceja-Navarro </w:t>
      </w:r>
      <w:r w:rsidRPr="00CC7C2F">
        <w:rPr>
          <w:i/>
          <w:iCs/>
        </w:rPr>
        <w:t>et al.</w:t>
      </w:r>
      <w:r>
        <w:t xml:space="preserve"> 2015). The apple maggot (</w:t>
      </w:r>
      <w:proofErr w:type="spellStart"/>
      <w:r>
        <w:rPr>
          <w:i/>
        </w:rPr>
        <w:t>Rhagoletis</w:t>
      </w:r>
      <w:proofErr w:type="spellEnd"/>
      <w:r>
        <w:rPr>
          <w:i/>
        </w:rPr>
        <w:t xml:space="preserve"> </w:t>
      </w:r>
      <w:proofErr w:type="spellStart"/>
      <w:r>
        <w:rPr>
          <w:i/>
        </w:rPr>
        <w:t>pomonella</w:t>
      </w:r>
      <w:proofErr w:type="spellEnd"/>
      <w:r>
        <w:t>) contains a symbiotic bacterium (</w:t>
      </w:r>
      <w:r>
        <w:rPr>
          <w:i/>
        </w:rPr>
        <w:t xml:space="preserve">Pseudomonas </w:t>
      </w:r>
      <w:proofErr w:type="spellStart"/>
      <w:r>
        <w:rPr>
          <w:i/>
        </w:rPr>
        <w:t>melophthora</w:t>
      </w:r>
      <w:proofErr w:type="spellEnd"/>
      <w:r>
        <w:t xml:space="preserve">) which </w:t>
      </w:r>
      <w:r w:rsidR="00242F5E">
        <w:t>can</w:t>
      </w:r>
      <w:r>
        <w:t xml:space="preserve"> degrade up to six different insecticides </w:t>
      </w:r>
      <w:r w:rsidR="00242F5E">
        <w:t>that</w:t>
      </w:r>
      <w:r>
        <w:t xml:space="preserve"> would otherwise control the apple maggot (</w:t>
      </w:r>
      <w:proofErr w:type="spellStart"/>
      <w:r>
        <w:t>Boush</w:t>
      </w:r>
      <w:proofErr w:type="spellEnd"/>
      <w:r>
        <w:t xml:space="preserve"> and Matsumura 1967).</w:t>
      </w:r>
      <w:r w:rsidR="00D72C47">
        <w:t xml:space="preserve"> </w:t>
      </w:r>
    </w:p>
    <w:p w14:paraId="6A8C84CA" w14:textId="6884CC05" w:rsidR="00CC7C2F" w:rsidRDefault="00D72C47" w:rsidP="00CC7C2F">
      <w:r>
        <w:t>The German cockroach</w:t>
      </w:r>
      <w:r w:rsidR="00CC7C2F">
        <w:t xml:space="preserve"> </w:t>
      </w:r>
      <w:r>
        <w:t>(</w:t>
      </w:r>
      <w:r w:rsidR="00CC7C2F">
        <w:rPr>
          <w:i/>
        </w:rPr>
        <w:t>B</w:t>
      </w:r>
      <w:r>
        <w:rPr>
          <w:i/>
        </w:rPr>
        <w:t>lattella</w:t>
      </w:r>
      <w:r w:rsidR="00CC7C2F">
        <w:rPr>
          <w:i/>
        </w:rPr>
        <w:t xml:space="preserve"> </w:t>
      </w:r>
      <w:proofErr w:type="spellStart"/>
      <w:r w:rsidR="00CC7C2F">
        <w:rPr>
          <w:i/>
        </w:rPr>
        <w:t>germanica</w:t>
      </w:r>
      <w:proofErr w:type="spellEnd"/>
      <w:r w:rsidRPr="00D72C47">
        <w:rPr>
          <w:iCs/>
        </w:rPr>
        <w:t>)</w:t>
      </w:r>
      <w:r w:rsidR="00CC7C2F" w:rsidRPr="00D72C47">
        <w:rPr>
          <w:iCs/>
        </w:rPr>
        <w:t xml:space="preserve"> </w:t>
      </w:r>
      <w:r w:rsidR="00CC7C2F">
        <w:t xml:space="preserve">is an insect species </w:t>
      </w:r>
      <w:r>
        <w:t xml:space="preserve">notorious for its ability to tolerate insecticide applications and is also </w:t>
      </w:r>
      <w:r w:rsidR="00CC7C2F">
        <w:t>known to host a plethora of microbial gut symbionts (</w:t>
      </w:r>
      <w:r w:rsidR="001526C2">
        <w:t>SOURCE</w:t>
      </w:r>
      <w:r>
        <w:t xml:space="preserve">, </w:t>
      </w:r>
      <w:r w:rsidR="00CC7C2F">
        <w:t xml:space="preserve">Wada-Katsumata </w:t>
      </w:r>
      <w:r w:rsidR="00CC7C2F" w:rsidRPr="00CC7C2F">
        <w:rPr>
          <w:i/>
          <w:iCs/>
        </w:rPr>
        <w:t>et al.</w:t>
      </w:r>
      <w:r w:rsidR="00CC7C2F">
        <w:t xml:space="preserve"> 2015). Isolating these microbial species and studying how they react to insecticidal compounds is crucial to determine the mechanisms of insecticide resistance in </w:t>
      </w:r>
      <w:r w:rsidR="00CC7C2F">
        <w:rPr>
          <w:i/>
        </w:rPr>
        <w:t xml:space="preserve">B. </w:t>
      </w:r>
      <w:proofErr w:type="spellStart"/>
      <w:r w:rsidR="00CC7C2F">
        <w:rPr>
          <w:i/>
        </w:rPr>
        <w:t>germanica</w:t>
      </w:r>
      <w:proofErr w:type="spellEnd"/>
      <w:r w:rsidR="00CC7C2F">
        <w:t xml:space="preserve"> and in its microbial symbionts.</w:t>
      </w:r>
      <w:r w:rsidR="00C43717" w:rsidRPr="00C43717">
        <w:t xml:space="preserve"> </w:t>
      </w:r>
      <w:r w:rsidR="00C43717">
        <w:t>Learning which bacterial symbionts are present in insecticide-resistant and susceptible cockroaches will give us clues as to which bacterial symbionts might help degrade and detoxify insecticides.</w:t>
      </w:r>
    </w:p>
    <w:p w14:paraId="008FA8D7" w14:textId="5B76F668" w:rsidR="00F2045D" w:rsidRDefault="00A845A4" w:rsidP="00CC7C2F">
      <w:r>
        <w:t>The</w:t>
      </w:r>
      <w:r w:rsidR="00CC7C2F">
        <w:t xml:space="preserve"> primary objective for this project is to compare the</w:t>
      </w:r>
      <w:r w:rsidR="00681612">
        <w:t xml:space="preserve"> whole</w:t>
      </w:r>
      <w:r w:rsidR="00CC7C2F">
        <w:t xml:space="preserve"> gut bacterial profiles of insecticide resistant and susceptible </w:t>
      </w:r>
      <w:r w:rsidR="00CC7C2F">
        <w:rPr>
          <w:i/>
        </w:rPr>
        <w:t xml:space="preserve">B. </w:t>
      </w:r>
      <w:proofErr w:type="spellStart"/>
      <w:r w:rsidR="00CC7C2F">
        <w:rPr>
          <w:i/>
        </w:rPr>
        <w:t>germanica</w:t>
      </w:r>
      <w:proofErr w:type="spellEnd"/>
      <w:r w:rsidR="00CC7C2F">
        <w:t>. The hypothesis for my objective is that there will be differences in gut bacterial composition between insecticide resistant and susceptible cockroach strains.</w:t>
      </w:r>
    </w:p>
    <w:p w14:paraId="7DD7D0FD" w14:textId="77777777" w:rsidR="001960A3" w:rsidRPr="001960A3" w:rsidRDefault="001960A3" w:rsidP="00CC7C2F"/>
    <w:p w14:paraId="6ABD10C6" w14:textId="0F2E5C17" w:rsidR="00CC7C2F" w:rsidRDefault="00CC7C2F" w:rsidP="00CC7C2F">
      <w:pPr>
        <w:rPr>
          <w:b/>
          <w:bCs/>
        </w:rPr>
      </w:pPr>
      <w:r>
        <w:rPr>
          <w:b/>
          <w:bCs/>
        </w:rPr>
        <w:t>Methods</w:t>
      </w:r>
    </w:p>
    <w:p w14:paraId="537E0F16" w14:textId="27277788" w:rsidR="006D7C92" w:rsidRPr="006D7C92" w:rsidRDefault="006D7C92" w:rsidP="006D7C92">
      <w:r>
        <w:rPr>
          <w:i/>
          <w:iCs/>
        </w:rPr>
        <w:t>Insects</w:t>
      </w:r>
      <w:r>
        <w:t xml:space="preserve">: </w:t>
      </w:r>
      <w:r w:rsidRPr="006D7C92">
        <w:t xml:space="preserve">Both insecticide-resistant and insecticide-susceptible strains of male German cockroaches will be obtained and tested for their ability to resist and detoxify insecticides. The insecticide-resistant strain of </w:t>
      </w:r>
      <w:r w:rsidRPr="006D7C92">
        <w:rPr>
          <w:i/>
        </w:rPr>
        <w:t xml:space="preserve">B. </w:t>
      </w:r>
      <w:proofErr w:type="spellStart"/>
      <w:r w:rsidRPr="006D7C92">
        <w:rPr>
          <w:i/>
        </w:rPr>
        <w:t>germanica</w:t>
      </w:r>
      <w:proofErr w:type="spellEnd"/>
      <w:r w:rsidRPr="006D7C92">
        <w:t xml:space="preserve"> is originally obtained from Danville, IL</w:t>
      </w:r>
      <w:r w:rsidR="00EB1F94">
        <w:t xml:space="preserve"> (Danville-R)</w:t>
      </w:r>
      <w:r w:rsidRPr="006D7C92">
        <w:t xml:space="preserve"> and has shown</w:t>
      </w:r>
      <w:r w:rsidR="00BB2864">
        <w:t xml:space="preserve"> field</w:t>
      </w:r>
      <w:r w:rsidRPr="006D7C92">
        <w:t xml:space="preserve"> resistance to Indoxacarb, Abamectin and Fipronil (</w:t>
      </w:r>
      <w:proofErr w:type="spellStart"/>
      <w:r w:rsidRPr="006D7C92">
        <w:t>Fardisi</w:t>
      </w:r>
      <w:proofErr w:type="spellEnd"/>
      <w:r w:rsidRPr="006D7C92">
        <w:t xml:space="preserve"> </w:t>
      </w:r>
      <w:r w:rsidRPr="006D7C92">
        <w:rPr>
          <w:i/>
        </w:rPr>
        <w:t>et al.</w:t>
      </w:r>
      <w:r w:rsidRPr="006D7C92">
        <w:t xml:space="preserve"> 2017). The insecticide-susceptible strain known as Johnson Wax susceptible (J</w:t>
      </w:r>
      <w:r w:rsidR="00EB1F94">
        <w:t>-</w:t>
      </w:r>
      <w:r w:rsidRPr="006D7C92">
        <w:t>wax-S) is a standard susceptible lab strain and has no previous exposure to Indoxacarb, Abamectin or Fipronil (</w:t>
      </w:r>
      <w:proofErr w:type="spellStart"/>
      <w:r w:rsidRPr="006D7C92">
        <w:t>Fardisi</w:t>
      </w:r>
      <w:proofErr w:type="spellEnd"/>
      <w:r w:rsidRPr="006D7C92">
        <w:t xml:space="preserve"> </w:t>
      </w:r>
      <w:r w:rsidRPr="006D7C92">
        <w:rPr>
          <w:i/>
        </w:rPr>
        <w:t>et al.</w:t>
      </w:r>
      <w:r w:rsidRPr="006D7C92">
        <w:t xml:space="preserve"> 2017).</w:t>
      </w:r>
    </w:p>
    <w:p w14:paraId="19028D89" w14:textId="60B6E750" w:rsidR="006D7C92" w:rsidRPr="006D7C92" w:rsidRDefault="006D7C92" w:rsidP="00CC7C2F">
      <w:r w:rsidRPr="006D7C92">
        <w:rPr>
          <w:bCs/>
          <w:i/>
          <w:iCs/>
        </w:rPr>
        <w:t>Rearing and preparation of traditionally raised insects (</w:t>
      </w:r>
      <w:proofErr w:type="spellStart"/>
      <w:r w:rsidRPr="006D7C92">
        <w:rPr>
          <w:bCs/>
          <w:i/>
          <w:iCs/>
        </w:rPr>
        <w:t>Gondhalekar</w:t>
      </w:r>
      <w:proofErr w:type="spellEnd"/>
      <w:r w:rsidRPr="006D7C92">
        <w:rPr>
          <w:bCs/>
          <w:i/>
          <w:iCs/>
        </w:rPr>
        <w:t xml:space="preserve"> and Scharf 2012)</w:t>
      </w:r>
      <w:r>
        <w:rPr>
          <w:bCs/>
        </w:rPr>
        <w:t xml:space="preserve">: </w:t>
      </w:r>
      <w:r w:rsidRPr="006D7C92">
        <w:t xml:space="preserve">Rearing is conducted in 3.8 liter plastic containers which are held in a reach-in environmental chamber at 25 ± 1°C temperature and 12:12 hour </w:t>
      </w:r>
      <w:proofErr w:type="spellStart"/>
      <w:proofErr w:type="gramStart"/>
      <w:r w:rsidRPr="006D7C92">
        <w:t>light:dark</w:t>
      </w:r>
      <w:proofErr w:type="spellEnd"/>
      <w:proofErr w:type="gramEnd"/>
      <w:r w:rsidRPr="006D7C92">
        <w:t xml:space="preserve"> photoperiod. The inner top portions of the rearing units are lightly coated with a mixture of petroleum jelly and mineral oil (2:3) to prevent the cockroaches from escaping. Each rearing unit contains corrugated cardboard harborages, a water source, and rodent diet (No. 8604; Harlan </w:t>
      </w:r>
      <w:proofErr w:type="spellStart"/>
      <w:r w:rsidRPr="006D7C92">
        <w:t>Teklad</w:t>
      </w:r>
      <w:proofErr w:type="spellEnd"/>
      <w:r w:rsidRPr="006D7C92">
        <w:t>, Madison, WI).</w:t>
      </w:r>
    </w:p>
    <w:p w14:paraId="16D70305" w14:textId="4D6015EA" w:rsidR="00441CD5" w:rsidRDefault="006D7C92" w:rsidP="00CC7C2F">
      <w:r>
        <w:rPr>
          <w:i/>
          <w:iCs/>
        </w:rPr>
        <w:t>Treatment and subsequent g</w:t>
      </w:r>
      <w:r w:rsidR="00403FAF" w:rsidRPr="00403FAF">
        <w:rPr>
          <w:i/>
          <w:iCs/>
        </w:rPr>
        <w:t>ut extraction</w:t>
      </w:r>
      <w:r w:rsidR="000B3211">
        <w:rPr>
          <w:i/>
          <w:iCs/>
        </w:rPr>
        <w:t>s</w:t>
      </w:r>
      <w:r w:rsidR="00403FAF">
        <w:t xml:space="preserve">: </w:t>
      </w:r>
      <w:r w:rsidR="00FA28E1" w:rsidRPr="00FA28E1">
        <w:t>Roaches will be</w:t>
      </w:r>
      <w:r w:rsidR="00FA28E1">
        <w:t xml:space="preserve"> separated into four treatment groups: insecticide-resistant roaches treated with/without antibiotics and insecticide-susceptible treated </w:t>
      </w:r>
      <w:r w:rsidR="00FA28E1">
        <w:lastRenderedPageBreak/>
        <w:t>with/without antibiotics.</w:t>
      </w:r>
      <w:r w:rsidR="00FA28E1" w:rsidRPr="00FA28E1">
        <w:t xml:space="preserve"> </w:t>
      </w:r>
      <w:r w:rsidR="00155F5E">
        <w:t xml:space="preserve">Treatments were held in groups of 10 male adult cockroaches per petri dish (each dish containing a single pellet (approx. 1g) of Purina kitten chow </w:t>
      </w:r>
      <w:r w:rsidR="00155F5E" w:rsidRPr="00155F5E">
        <w:t>(number 100137; Nestlé Purina, Neenah, WI)</w:t>
      </w:r>
      <w:r w:rsidR="00155F5E">
        <w:t xml:space="preserve"> along with 1.5 mL of either </w:t>
      </w:r>
      <w:proofErr w:type="spellStart"/>
      <w:r w:rsidR="00155F5E">
        <w:t>NanoPure</w:t>
      </w:r>
      <w:proofErr w:type="spellEnd"/>
      <w:r w:rsidR="00155F5E">
        <w:t xml:space="preserve"> water or Kanamycin-infused </w:t>
      </w:r>
      <w:proofErr w:type="spellStart"/>
      <w:r w:rsidR="00155F5E">
        <w:t>NanoPure</w:t>
      </w:r>
      <w:proofErr w:type="spellEnd"/>
      <w:r w:rsidR="00155F5E">
        <w:t xml:space="preserve"> water)</w:t>
      </w:r>
      <w:r w:rsidR="00155F5E" w:rsidRPr="00FA28E1">
        <w:t xml:space="preserve"> for 72 hours before</w:t>
      </w:r>
      <w:r w:rsidR="00155F5E">
        <w:t xml:space="preserve"> the</w:t>
      </w:r>
      <w:r w:rsidR="00155F5E" w:rsidRPr="00FA28E1">
        <w:t xml:space="preserve"> </w:t>
      </w:r>
      <w:r w:rsidR="00155F5E">
        <w:t>gut extraction</w:t>
      </w:r>
      <w:r w:rsidR="00155F5E" w:rsidRPr="00FA28E1">
        <w:t xml:space="preserve"> is conducted</w:t>
      </w:r>
      <w:r w:rsidR="00155F5E">
        <w:t>.</w:t>
      </w:r>
      <w:r w:rsidR="00155F5E" w:rsidRPr="00FA28E1">
        <w:t xml:space="preserve"> </w:t>
      </w:r>
      <w:r w:rsidR="00FA28E1">
        <w:t xml:space="preserve">Kanamycin, the antibiotic used in the experiment, is dissolved in 1.5 mL </w:t>
      </w:r>
      <w:proofErr w:type="spellStart"/>
      <w:r w:rsidR="00FA28E1">
        <w:t>NanoPure</w:t>
      </w:r>
      <w:proofErr w:type="spellEnd"/>
      <w:r w:rsidR="00FA28E1">
        <w:t xml:space="preserve"> water at 5% w/v (discuss preliminary bioassay). The control group received only 1.5 mL </w:t>
      </w:r>
      <w:proofErr w:type="spellStart"/>
      <w:r w:rsidR="00FA28E1">
        <w:t>NanoPure</w:t>
      </w:r>
      <w:proofErr w:type="spellEnd"/>
      <w:r w:rsidR="00FA28E1">
        <w:t xml:space="preserve"> water</w:t>
      </w:r>
      <w:r w:rsidR="0003266B">
        <w:t xml:space="preserve">. </w:t>
      </w:r>
      <w:r w:rsidR="00CC7C2F" w:rsidRPr="00403FAF">
        <w:t>The</w:t>
      </w:r>
      <w:r w:rsidR="00C43717">
        <w:t xml:space="preserve"> whole</w:t>
      </w:r>
      <w:r w:rsidR="00CC7C2F">
        <w:t xml:space="preserve"> gut, including the bacteria inside of the gut, of </w:t>
      </w:r>
      <w:r w:rsidR="00155F5E">
        <w:t>these</w:t>
      </w:r>
      <w:r w:rsidR="00CC7C2F">
        <w:t xml:space="preserve"> </w:t>
      </w:r>
      <w:r w:rsidR="00C43717">
        <w:t>cock</w:t>
      </w:r>
      <w:r w:rsidR="00CC7C2F">
        <w:t>roaches</w:t>
      </w:r>
      <w:r w:rsidR="00FA28E1">
        <w:t xml:space="preserve"> </w:t>
      </w:r>
      <w:r w:rsidR="00CC7C2F">
        <w:t xml:space="preserve">has been extracted and homogenized in PBS. </w:t>
      </w:r>
    </w:p>
    <w:p w14:paraId="7F2E614F" w14:textId="103281D9" w:rsidR="00EB1F94" w:rsidRDefault="00441CD5" w:rsidP="00CC7C2F">
      <w:r w:rsidRPr="00441CD5">
        <w:rPr>
          <w:i/>
          <w:iCs/>
        </w:rPr>
        <w:t>PCR</w:t>
      </w:r>
      <w:r w:rsidR="00A6272E">
        <w:rPr>
          <w:i/>
          <w:iCs/>
        </w:rPr>
        <w:t xml:space="preserve"> and sequencing</w:t>
      </w:r>
      <w:r>
        <w:t xml:space="preserve">: </w:t>
      </w:r>
      <w:r w:rsidR="00CC7C2F" w:rsidRPr="00441CD5">
        <w:t>DNA</w:t>
      </w:r>
      <w:r w:rsidR="00CC7C2F">
        <w:t xml:space="preserve"> </w:t>
      </w:r>
      <w:proofErr w:type="gramStart"/>
      <w:r w:rsidR="00726753">
        <w:t>was</w:t>
      </w:r>
      <w:proofErr w:type="gramEnd"/>
      <w:r w:rsidR="00CC7C2F">
        <w:t xml:space="preserve"> isolated from the homogenization of the gut and replicated using PCR.</w:t>
      </w:r>
      <w:r w:rsidR="006D7C92">
        <w:t xml:space="preserve"> </w:t>
      </w:r>
      <w:r w:rsidR="006D7C92" w:rsidRPr="006D7C92">
        <w:t>The gut, including the bacteria inside of the gut, of five roaches of each treatment type will be extracted and homogenized in PBS. DNA will be isolated from the homogenization of the gut. Bacterial 16S rDNA will be PCR-amplified using the previously published primers 338F (ACTCCTACGGGAGGCAGCAG) and 518R (ATTACCGCGGCTGCTGG) (</w:t>
      </w:r>
      <w:proofErr w:type="spellStart"/>
      <w:r w:rsidR="006D7C92" w:rsidRPr="006D7C92">
        <w:t>Fierer</w:t>
      </w:r>
      <w:proofErr w:type="spellEnd"/>
      <w:r w:rsidR="006D7C92" w:rsidRPr="006D7C92">
        <w:t xml:space="preserve"> </w:t>
      </w:r>
      <w:r w:rsidR="006D7C92" w:rsidRPr="006D7C92">
        <w:rPr>
          <w:i/>
        </w:rPr>
        <w:t>et al.</w:t>
      </w:r>
      <w:r w:rsidR="006D7C92" w:rsidRPr="006D7C92">
        <w:t xml:space="preserve"> 2005). PCR will be carried out in a total volume of 15 </w:t>
      </w:r>
      <w:proofErr w:type="spellStart"/>
      <w:r w:rsidR="006D7C92" w:rsidRPr="006D7C92">
        <w:t>μl</w:t>
      </w:r>
      <w:proofErr w:type="spellEnd"/>
      <w:r w:rsidR="006D7C92" w:rsidRPr="006D7C92">
        <w:t xml:space="preserve">. Each reaction will contain 7.5 </w:t>
      </w:r>
      <w:proofErr w:type="spellStart"/>
      <w:r w:rsidR="006D7C92" w:rsidRPr="006D7C92">
        <w:t>μl</w:t>
      </w:r>
      <w:proofErr w:type="spellEnd"/>
      <w:r w:rsidR="006D7C92" w:rsidRPr="006D7C92">
        <w:t xml:space="preserve"> of the </w:t>
      </w:r>
      <w:proofErr w:type="spellStart"/>
      <w:r w:rsidR="006D7C92" w:rsidRPr="006D7C92">
        <w:t>Ssofast</w:t>
      </w:r>
      <w:proofErr w:type="spellEnd"/>
      <w:r w:rsidR="006D7C92" w:rsidRPr="006D7C92">
        <w:t xml:space="preserve"> </w:t>
      </w:r>
      <w:proofErr w:type="spellStart"/>
      <w:r w:rsidR="006D7C92" w:rsidRPr="006D7C92">
        <w:t>evagreen</w:t>
      </w:r>
      <w:proofErr w:type="spellEnd"/>
      <w:r w:rsidR="006D7C92" w:rsidRPr="006D7C92">
        <w:t xml:space="preserve"> </w:t>
      </w:r>
      <w:proofErr w:type="spellStart"/>
      <w:r w:rsidR="006D7C92" w:rsidRPr="006D7C92">
        <w:t>supermix</w:t>
      </w:r>
      <w:proofErr w:type="spellEnd"/>
      <w:r w:rsidR="006D7C92" w:rsidRPr="006D7C92">
        <w:t xml:space="preserve"> reagent [water (50-100%), Proprietary Reagent RF I (10-20%), Proprietary Reagent TR 7 (5-10%), Proprietary Reagent J11 (1.0-2.5%), tris(hydroxymethyl)aminomethane (0.1-1.0%), Proprietary Reagent RS 1 (0.1-1.0%), potassium chloride (0.1-1.0%)], 0.5 </w:t>
      </w:r>
      <w:proofErr w:type="spellStart"/>
      <w:r w:rsidR="006D7C92" w:rsidRPr="006D7C92">
        <w:t>μl</w:t>
      </w:r>
      <w:proofErr w:type="spellEnd"/>
      <w:r w:rsidR="006D7C92" w:rsidRPr="006D7C92">
        <w:t xml:space="preserve"> each of the forward and reverse primers (stock 10 </w:t>
      </w:r>
      <w:proofErr w:type="spellStart"/>
      <w:r w:rsidR="006D7C92" w:rsidRPr="006D7C92">
        <w:t>μM</w:t>
      </w:r>
      <w:proofErr w:type="spellEnd"/>
      <w:r w:rsidR="006D7C92" w:rsidRPr="006D7C92">
        <w:t xml:space="preserve">), 3 ng of template DNA, and nuclease-free water up to 15 </w:t>
      </w:r>
      <w:proofErr w:type="spellStart"/>
      <w:r w:rsidR="006D7C92" w:rsidRPr="006D7C92">
        <w:t>μl</w:t>
      </w:r>
      <w:proofErr w:type="spellEnd"/>
      <w:r w:rsidR="006D7C92" w:rsidRPr="006D7C92">
        <w:t xml:space="preserve">. The Bio-Rad </w:t>
      </w:r>
      <w:proofErr w:type="spellStart"/>
      <w:r w:rsidR="006D7C92" w:rsidRPr="006D7C92">
        <w:t>MyCycler</w:t>
      </w:r>
      <w:proofErr w:type="spellEnd"/>
      <w:r w:rsidR="006D7C92" w:rsidRPr="006D7C92">
        <w:t xml:space="preserve"> thermocycler reaction conditions are: initial denaturation at 95 ºC for 3 min; 30 cycles of denaturation at 95 ºC for 15 s, annealing at 55 ºC for 15 s, and elongation at 72 ºC for 30 s; and a final elongation at 72 ºC for 5 min. An additional 5 cycle PCR (with the same conditions) will be performed to add barcodes to the resulting 30-cycle PCR product. To avoid PCR bias, the lowest DNA template quantity and the fewest possible PCR amplification cycles were chosen. The integrity and quantity of the amplicons will be verified by agarose gel (2%) electrophoresis. DNA concentration will be quantified on a nanodrop 2000c spectrophotometer (Thermo Fisher Scientific, Waltham, MA). Samples </w:t>
      </w:r>
      <w:r w:rsidR="00794DE1">
        <w:t>were</w:t>
      </w:r>
      <w:r w:rsidR="006D7C92" w:rsidRPr="006D7C92">
        <w:t xml:space="preserve"> sequenced using Illumina Mi-Seq at the Purdue Genomics Core Facility (Purdue University, West Lafayette, IN). </w:t>
      </w:r>
      <w:r w:rsidR="008A676A" w:rsidRPr="008A676A">
        <w:t xml:space="preserve">The sample pool was </w:t>
      </w:r>
      <w:proofErr w:type="spellStart"/>
      <w:r w:rsidR="008A676A" w:rsidRPr="008A676A">
        <w:t>titered</w:t>
      </w:r>
      <w:proofErr w:type="spellEnd"/>
      <w:r w:rsidR="008A676A" w:rsidRPr="008A676A">
        <w:t xml:space="preserve"> using a KAPA Library Quantification Kit (Roche</w:t>
      </w:r>
      <w:r w:rsidR="008A676A">
        <w:t>, Basel, Switzerland</w:t>
      </w:r>
      <w:r w:rsidR="008A676A" w:rsidRPr="008A676A">
        <w:t xml:space="preserve">) and run as 5% of a </w:t>
      </w:r>
      <w:proofErr w:type="spellStart"/>
      <w:r w:rsidR="008A676A" w:rsidRPr="008A676A">
        <w:t>MiSeq</w:t>
      </w:r>
      <w:proofErr w:type="spellEnd"/>
      <w:r w:rsidR="008A676A" w:rsidRPr="008A676A">
        <w:t xml:space="preserve"> 500 cycle kit run (Illumina</w:t>
      </w:r>
      <w:r w:rsidR="008A676A">
        <w:t>, San Diego, CA</w:t>
      </w:r>
      <w:r w:rsidR="008A676A" w:rsidRPr="008A676A">
        <w:t>).</w:t>
      </w:r>
      <w:r w:rsidR="008A676A">
        <w:t xml:space="preserve"> </w:t>
      </w:r>
      <w:r w:rsidR="006D7C92" w:rsidRPr="006D7C92">
        <w:t>Each strain of cockroaches (insecticide-resistant and susceptible) and each treatment type (with and without antibiotic treatment) will be replicated 3 times, for a total of 12 biological replications</w:t>
      </w:r>
      <w:r w:rsidR="006D7C92">
        <w:t xml:space="preserve"> each containing 5 </w:t>
      </w:r>
      <w:r w:rsidR="00EB1F94">
        <w:t xml:space="preserve">whole </w:t>
      </w:r>
      <w:r w:rsidR="006D7C92">
        <w:t>homogenized guts</w:t>
      </w:r>
      <w:r w:rsidR="00EB1F94">
        <w:t>:</w:t>
      </w:r>
    </w:p>
    <w:p w14:paraId="7CAC1441" w14:textId="11B4CD9A" w:rsidR="00FE6E03" w:rsidRDefault="00FE6E03" w:rsidP="00FE6E03">
      <w:pPr>
        <w:jc w:val="center"/>
      </w:pPr>
      <w:r>
        <w:rPr>
          <w:b/>
          <w:bCs/>
          <w:sz w:val="18"/>
          <w:szCs w:val="18"/>
        </w:rPr>
        <w:t>Table</w:t>
      </w:r>
      <w:r w:rsidRPr="00CF574E">
        <w:rPr>
          <w:b/>
          <w:bCs/>
          <w:sz w:val="18"/>
          <w:szCs w:val="18"/>
        </w:rPr>
        <w:t xml:space="preserve"> </w:t>
      </w:r>
      <w:r>
        <w:rPr>
          <w:b/>
          <w:bCs/>
          <w:sz w:val="18"/>
          <w:szCs w:val="18"/>
        </w:rPr>
        <w:t>1</w:t>
      </w:r>
      <w:r w:rsidRPr="00CF574E">
        <w:rPr>
          <w:b/>
          <w:bCs/>
          <w:sz w:val="18"/>
          <w:szCs w:val="18"/>
        </w:rPr>
        <w:t>.</w:t>
      </w:r>
      <w:r w:rsidRPr="00CF574E">
        <w:rPr>
          <w:sz w:val="18"/>
          <w:szCs w:val="18"/>
        </w:rPr>
        <w:t xml:space="preserve"> </w:t>
      </w:r>
      <w:r>
        <w:rPr>
          <w:sz w:val="18"/>
          <w:szCs w:val="18"/>
        </w:rPr>
        <w:t>Summary of 12 treatments</w:t>
      </w:r>
      <w:r w:rsidRPr="00CF574E">
        <w:rPr>
          <w:sz w:val="18"/>
          <w:szCs w:val="18"/>
        </w:rPr>
        <w:t xml:space="preserve"> </w:t>
      </w:r>
      <w:r>
        <w:rPr>
          <w:sz w:val="18"/>
          <w:szCs w:val="18"/>
        </w:rPr>
        <w:t>sequenced.</w:t>
      </w:r>
    </w:p>
    <w:tbl>
      <w:tblPr>
        <w:tblStyle w:val="TableGrid"/>
        <w:tblW w:w="0" w:type="auto"/>
        <w:tblLook w:val="04A0" w:firstRow="1" w:lastRow="0" w:firstColumn="1" w:lastColumn="0" w:noHBand="0" w:noVBand="1"/>
      </w:tblPr>
      <w:tblGrid>
        <w:gridCol w:w="2425"/>
        <w:gridCol w:w="2340"/>
        <w:gridCol w:w="2340"/>
        <w:gridCol w:w="2245"/>
      </w:tblGrid>
      <w:tr w:rsidR="00EB1F94" w14:paraId="5152D306" w14:textId="77777777" w:rsidTr="0051115B">
        <w:tc>
          <w:tcPr>
            <w:tcW w:w="2425" w:type="dxa"/>
            <w:shd w:val="clear" w:color="auto" w:fill="FF0000"/>
          </w:tcPr>
          <w:p w14:paraId="7EE751DD" w14:textId="01367B33" w:rsidR="00EB1F94" w:rsidRPr="00FE6E03" w:rsidRDefault="00EB1F94" w:rsidP="00EB1F94">
            <w:pPr>
              <w:rPr>
                <w:color w:val="FFFFFF" w:themeColor="background1"/>
              </w:rPr>
            </w:pPr>
            <w:r w:rsidRPr="00FE6E03">
              <w:rPr>
                <w:color w:val="FFFFFF" w:themeColor="background1"/>
              </w:rPr>
              <w:t>Danville Control (5 guts)</w:t>
            </w:r>
          </w:p>
        </w:tc>
        <w:tc>
          <w:tcPr>
            <w:tcW w:w="2340" w:type="dxa"/>
            <w:shd w:val="clear" w:color="auto" w:fill="FD5DB1"/>
          </w:tcPr>
          <w:p w14:paraId="0B3C784F" w14:textId="1007F088" w:rsidR="00EB1F94" w:rsidRPr="00FE6E03" w:rsidRDefault="00EB1F94" w:rsidP="00EB1F94">
            <w:pPr>
              <w:rPr>
                <w:color w:val="FFFFFF" w:themeColor="background1"/>
              </w:rPr>
            </w:pPr>
            <w:r w:rsidRPr="00FE6E03">
              <w:rPr>
                <w:color w:val="FFFFFF" w:themeColor="background1"/>
              </w:rPr>
              <w:t xml:space="preserve">Danville </w:t>
            </w:r>
            <w:r w:rsidRPr="00FE6E03">
              <w:rPr>
                <w:color w:val="FFFFFF" w:themeColor="background1"/>
              </w:rPr>
              <w:t>kanamycin-treated</w:t>
            </w:r>
            <w:r w:rsidRPr="00FE6E03">
              <w:rPr>
                <w:color w:val="FFFFFF" w:themeColor="background1"/>
              </w:rPr>
              <w:t xml:space="preserve"> (5 guts)</w:t>
            </w:r>
          </w:p>
        </w:tc>
        <w:tc>
          <w:tcPr>
            <w:tcW w:w="2340" w:type="dxa"/>
            <w:shd w:val="clear" w:color="auto" w:fill="0070C0"/>
          </w:tcPr>
          <w:p w14:paraId="29E02D44" w14:textId="56745799" w:rsidR="00EB1F94" w:rsidRPr="00FE6E03" w:rsidRDefault="00EB1F94" w:rsidP="00EB1F94">
            <w:pPr>
              <w:rPr>
                <w:color w:val="FFFFFF" w:themeColor="background1"/>
              </w:rPr>
            </w:pPr>
            <w:r w:rsidRPr="00FE6E03">
              <w:rPr>
                <w:color w:val="FFFFFF" w:themeColor="background1"/>
              </w:rPr>
              <w:t>J-wax</w:t>
            </w:r>
            <w:r w:rsidRPr="00FE6E03">
              <w:rPr>
                <w:color w:val="FFFFFF" w:themeColor="background1"/>
              </w:rPr>
              <w:t xml:space="preserve"> Control (5 guts)</w:t>
            </w:r>
          </w:p>
        </w:tc>
        <w:tc>
          <w:tcPr>
            <w:tcW w:w="2245" w:type="dxa"/>
            <w:shd w:val="clear" w:color="auto" w:fill="85DFFF"/>
          </w:tcPr>
          <w:p w14:paraId="183556E2" w14:textId="393143D5" w:rsidR="00EB1F94" w:rsidRDefault="00EB1F94" w:rsidP="00EB1F94">
            <w:r>
              <w:t>J-wax</w:t>
            </w:r>
            <w:r>
              <w:t xml:space="preserve"> kanamycin-treated (5 guts)</w:t>
            </w:r>
          </w:p>
        </w:tc>
      </w:tr>
      <w:tr w:rsidR="00EB1F94" w14:paraId="12B5409C" w14:textId="77777777" w:rsidTr="0051115B">
        <w:tc>
          <w:tcPr>
            <w:tcW w:w="2425" w:type="dxa"/>
            <w:shd w:val="clear" w:color="auto" w:fill="FF0000"/>
          </w:tcPr>
          <w:p w14:paraId="71766C7C" w14:textId="0374CC34" w:rsidR="00EB1F94" w:rsidRPr="00FE6E03" w:rsidRDefault="00EB1F94" w:rsidP="00EB1F94">
            <w:pPr>
              <w:rPr>
                <w:color w:val="FFFFFF" w:themeColor="background1"/>
              </w:rPr>
            </w:pPr>
            <w:r w:rsidRPr="00FE6E03">
              <w:rPr>
                <w:color w:val="FFFFFF" w:themeColor="background1"/>
              </w:rPr>
              <w:t>Danville Control (5 guts)</w:t>
            </w:r>
          </w:p>
        </w:tc>
        <w:tc>
          <w:tcPr>
            <w:tcW w:w="2340" w:type="dxa"/>
            <w:shd w:val="clear" w:color="auto" w:fill="FD5DB1"/>
          </w:tcPr>
          <w:p w14:paraId="672CD30C" w14:textId="625CBAD9" w:rsidR="00EB1F94" w:rsidRPr="00FE6E03" w:rsidRDefault="00EB1F94" w:rsidP="00EB1F94">
            <w:pPr>
              <w:rPr>
                <w:color w:val="FFFFFF" w:themeColor="background1"/>
              </w:rPr>
            </w:pPr>
            <w:r w:rsidRPr="00FE6E03">
              <w:rPr>
                <w:color w:val="FFFFFF" w:themeColor="background1"/>
              </w:rPr>
              <w:t>Danville kanamycin-treated (5 guts)</w:t>
            </w:r>
          </w:p>
        </w:tc>
        <w:tc>
          <w:tcPr>
            <w:tcW w:w="2340" w:type="dxa"/>
            <w:shd w:val="clear" w:color="auto" w:fill="0070C0"/>
          </w:tcPr>
          <w:p w14:paraId="3DA952E5" w14:textId="1416089F" w:rsidR="00EB1F94" w:rsidRPr="00FE6E03" w:rsidRDefault="00EB1F94" w:rsidP="00EB1F94">
            <w:pPr>
              <w:rPr>
                <w:color w:val="FFFFFF" w:themeColor="background1"/>
              </w:rPr>
            </w:pPr>
            <w:r w:rsidRPr="00FE6E03">
              <w:rPr>
                <w:color w:val="FFFFFF" w:themeColor="background1"/>
              </w:rPr>
              <w:t>J-wax Control (5 guts)</w:t>
            </w:r>
          </w:p>
        </w:tc>
        <w:tc>
          <w:tcPr>
            <w:tcW w:w="2245" w:type="dxa"/>
            <w:shd w:val="clear" w:color="auto" w:fill="85DFFF"/>
          </w:tcPr>
          <w:p w14:paraId="23DDE55F" w14:textId="5FF8D037" w:rsidR="00EB1F94" w:rsidRDefault="00EB1F94" w:rsidP="00EB1F94">
            <w:r>
              <w:t>J-wax kanamycin-treated (5 guts)</w:t>
            </w:r>
          </w:p>
        </w:tc>
      </w:tr>
      <w:tr w:rsidR="00EB1F94" w14:paraId="34CD95BF" w14:textId="77777777" w:rsidTr="0051115B">
        <w:tc>
          <w:tcPr>
            <w:tcW w:w="2425" w:type="dxa"/>
            <w:shd w:val="clear" w:color="auto" w:fill="FF0000"/>
          </w:tcPr>
          <w:p w14:paraId="4E7C6502" w14:textId="4D672C2B" w:rsidR="00EB1F94" w:rsidRPr="00FE6E03" w:rsidRDefault="00EB1F94" w:rsidP="00EB1F94">
            <w:pPr>
              <w:rPr>
                <w:color w:val="FFFFFF" w:themeColor="background1"/>
              </w:rPr>
            </w:pPr>
            <w:r w:rsidRPr="00FE6E03">
              <w:rPr>
                <w:color w:val="FFFFFF" w:themeColor="background1"/>
              </w:rPr>
              <w:t>Danville Control (5 guts)</w:t>
            </w:r>
          </w:p>
        </w:tc>
        <w:tc>
          <w:tcPr>
            <w:tcW w:w="2340" w:type="dxa"/>
            <w:shd w:val="clear" w:color="auto" w:fill="FD5DB1"/>
          </w:tcPr>
          <w:p w14:paraId="153BCA62" w14:textId="1A7906C7" w:rsidR="00EB1F94" w:rsidRPr="00FE6E03" w:rsidRDefault="00EB1F94" w:rsidP="00EB1F94">
            <w:pPr>
              <w:rPr>
                <w:color w:val="FFFFFF" w:themeColor="background1"/>
              </w:rPr>
            </w:pPr>
            <w:r w:rsidRPr="00FE6E03">
              <w:rPr>
                <w:color w:val="FFFFFF" w:themeColor="background1"/>
              </w:rPr>
              <w:t>Danville kanamycin-treated (5 guts)</w:t>
            </w:r>
          </w:p>
        </w:tc>
        <w:tc>
          <w:tcPr>
            <w:tcW w:w="2340" w:type="dxa"/>
            <w:shd w:val="clear" w:color="auto" w:fill="0070C0"/>
          </w:tcPr>
          <w:p w14:paraId="31CFBE1C" w14:textId="2C55815F" w:rsidR="00EB1F94" w:rsidRPr="00FE6E03" w:rsidRDefault="00EB1F94" w:rsidP="00EB1F94">
            <w:pPr>
              <w:rPr>
                <w:color w:val="FFFFFF" w:themeColor="background1"/>
              </w:rPr>
            </w:pPr>
            <w:r w:rsidRPr="00FE6E03">
              <w:rPr>
                <w:color w:val="FFFFFF" w:themeColor="background1"/>
              </w:rPr>
              <w:t>J-wax Control (5 guts)</w:t>
            </w:r>
          </w:p>
        </w:tc>
        <w:tc>
          <w:tcPr>
            <w:tcW w:w="2245" w:type="dxa"/>
            <w:shd w:val="clear" w:color="auto" w:fill="85DFFF"/>
          </w:tcPr>
          <w:p w14:paraId="09BD0DF8" w14:textId="6758B382" w:rsidR="00EB1F94" w:rsidRDefault="00EB1F94" w:rsidP="00EB1F94">
            <w:r>
              <w:t>J-wax kanamycin-treated (5 guts)</w:t>
            </w:r>
          </w:p>
        </w:tc>
      </w:tr>
    </w:tbl>
    <w:p w14:paraId="18FAEDF2" w14:textId="77777777" w:rsidR="00EB1F94" w:rsidRDefault="00EB1F94" w:rsidP="00CC7C2F"/>
    <w:p w14:paraId="44AAE627" w14:textId="3158066A" w:rsidR="00CC7C2F" w:rsidRDefault="006D7C92" w:rsidP="00CC7C2F">
      <w:r w:rsidRPr="006D7C92">
        <w:t xml:space="preserve">The results of the sequence will determine the relative abundance of different bacterial taxa between insecticide-resistant and susceptible strains of </w:t>
      </w:r>
      <w:r w:rsidRPr="006D7C92">
        <w:rPr>
          <w:i/>
        </w:rPr>
        <w:t xml:space="preserve">B. </w:t>
      </w:r>
      <w:proofErr w:type="spellStart"/>
      <w:r w:rsidRPr="006D7C92">
        <w:rPr>
          <w:i/>
        </w:rPr>
        <w:t>germanica</w:t>
      </w:r>
      <w:proofErr w:type="spellEnd"/>
      <w:r w:rsidRPr="006D7C92">
        <w:t>.</w:t>
      </w:r>
    </w:p>
    <w:p w14:paraId="5EEBE4E5" w14:textId="5615D64F" w:rsidR="00403FAF" w:rsidRDefault="00403FAF" w:rsidP="00794DE1">
      <w:r>
        <w:rPr>
          <w:i/>
          <w:iCs/>
        </w:rPr>
        <w:t>Sequence filtering</w:t>
      </w:r>
      <w:r w:rsidR="00070CA7">
        <w:rPr>
          <w:i/>
          <w:iCs/>
        </w:rPr>
        <w:t xml:space="preserve"> (Cui </w:t>
      </w:r>
      <w:r w:rsidR="00070CA7">
        <w:t>et al.</w:t>
      </w:r>
      <w:r w:rsidR="00070CA7">
        <w:rPr>
          <w:i/>
          <w:iCs/>
        </w:rPr>
        <w:t xml:space="preserve"> 2019)</w:t>
      </w:r>
      <w:r>
        <w:t>:</w:t>
      </w:r>
      <w:r w:rsidR="008B2B25">
        <w:t xml:space="preserve"> </w:t>
      </w:r>
      <w:r w:rsidR="008B2B25" w:rsidRPr="008B2B25">
        <w:t>The sequences were processed using</w:t>
      </w:r>
      <w:r w:rsidR="008B2B25">
        <w:t xml:space="preserve"> mothur v.1.39.3 (Schloss </w:t>
      </w:r>
      <w:r w:rsidR="008B2B25">
        <w:rPr>
          <w:i/>
          <w:iCs/>
        </w:rPr>
        <w:t>et al</w:t>
      </w:r>
      <w:r w:rsidR="008B2B25" w:rsidRPr="008B2B25">
        <w:t xml:space="preserve">. </w:t>
      </w:r>
      <w:r w:rsidR="008B2B25">
        <w:t>2009)</w:t>
      </w:r>
      <w:r w:rsidR="007C2D01">
        <w:t xml:space="preserve"> </w:t>
      </w:r>
      <w:r w:rsidR="007C2D01" w:rsidRPr="007C2D01">
        <w:t>following the</w:t>
      </w:r>
      <w:r w:rsidR="001E3570">
        <w:t xml:space="preserve"> </w:t>
      </w:r>
      <w:proofErr w:type="spellStart"/>
      <w:r w:rsidR="001E3570">
        <w:t>MiSeq</w:t>
      </w:r>
      <w:proofErr w:type="spellEnd"/>
      <w:r w:rsidR="007C2D01" w:rsidRPr="007C2D01">
        <w:t xml:space="preserve"> standard operating procedure (SOP) proposed by </w:t>
      </w:r>
      <w:proofErr w:type="spellStart"/>
      <w:r w:rsidR="007C2D01" w:rsidRPr="007C2D01">
        <w:t>Kozich</w:t>
      </w:r>
      <w:proofErr w:type="spellEnd"/>
      <w:r w:rsidR="007C2D01" w:rsidRPr="007C2D01">
        <w:t xml:space="preserve"> </w:t>
      </w:r>
      <w:r w:rsidR="00E55121" w:rsidRPr="001E3570">
        <w:rPr>
          <w:i/>
          <w:iCs/>
        </w:rPr>
        <w:t>et al</w:t>
      </w:r>
      <w:r w:rsidR="00E55121">
        <w:t>.</w:t>
      </w:r>
      <w:r w:rsidR="007C2D01">
        <w:t xml:space="preserve"> </w:t>
      </w:r>
      <w:r w:rsidR="00794DE1">
        <w:t>L</w:t>
      </w:r>
      <w:r w:rsidR="00794DE1" w:rsidRPr="00794DE1">
        <w:t xml:space="preserve">ow-quality sequences were removed from the analysis if they contained ambiguous characters or were over </w:t>
      </w:r>
      <w:r w:rsidR="00794DE1">
        <w:t>325</w:t>
      </w:r>
      <w:r w:rsidR="00794DE1" w:rsidRPr="00794DE1">
        <w:t xml:space="preserve"> </w:t>
      </w:r>
      <w:r w:rsidR="00794DE1" w:rsidRPr="00794DE1">
        <w:lastRenderedPageBreak/>
        <w:t>bp</w:t>
      </w:r>
      <w:r w:rsidR="00794DE1">
        <w:t xml:space="preserve">. After merging any duplicates, the pre-cluster method was applied to further reduce the sequencing errors produced by the </w:t>
      </w:r>
      <w:proofErr w:type="spellStart"/>
      <w:r w:rsidR="00794DE1">
        <w:t>MiSeq</w:t>
      </w:r>
      <w:proofErr w:type="spellEnd"/>
      <w:r w:rsidR="00794DE1">
        <w:t xml:space="preserve"> Illumina sequencing platform. Chimeras were identified and removed using </w:t>
      </w:r>
      <w:proofErr w:type="spellStart"/>
      <w:proofErr w:type="gramStart"/>
      <w:r w:rsidR="00794DE1">
        <w:t>chimera.vsearch</w:t>
      </w:r>
      <w:proofErr w:type="spellEnd"/>
      <w:proofErr w:type="gramEnd"/>
      <w:r w:rsidR="00794DE1">
        <w:t xml:space="preserve"> and </w:t>
      </w:r>
      <w:proofErr w:type="spellStart"/>
      <w:r w:rsidR="00794DE1">
        <w:t>remove.seqs</w:t>
      </w:r>
      <w:proofErr w:type="spellEnd"/>
      <w:r w:rsidR="00794DE1">
        <w:t>, respectively. The Silva database (</w:t>
      </w:r>
      <w:r w:rsidR="005D33FE">
        <w:t>version</w:t>
      </w:r>
      <w:r w:rsidR="00794DE1">
        <w:t xml:space="preserve"> 138) was used to align and classify the sequences. The sequences were clustered into OTUs at</w:t>
      </w:r>
      <w:r w:rsidR="005D33FE">
        <w:t xml:space="preserve"> a</w:t>
      </w:r>
      <w:r w:rsidR="00794DE1">
        <w:t xml:space="preserve"> distance threshold of 0.03 using the average neighbor</w:t>
      </w:r>
      <w:r w:rsidR="00E92BB6">
        <w:t xml:space="preserve"> </w:t>
      </w:r>
      <w:r w:rsidR="00794DE1">
        <w:t>method.</w:t>
      </w:r>
      <w:r w:rsidR="008C0EC1">
        <w:t xml:space="preserve"> The sequences were sampled to a depth of </w:t>
      </w:r>
      <w:r w:rsidR="008C0EC1" w:rsidRPr="008C0EC1">
        <w:t>24390</w:t>
      </w:r>
    </w:p>
    <w:p w14:paraId="79ED4D28" w14:textId="3DE8A3FD" w:rsidR="00794DE1" w:rsidRDefault="00794DE1" w:rsidP="00E92BB6">
      <w:r>
        <w:rPr>
          <w:i/>
          <w:iCs/>
        </w:rPr>
        <w:t>Statistical analysis</w:t>
      </w:r>
      <w:r w:rsidR="00070CA7">
        <w:rPr>
          <w:i/>
          <w:iCs/>
        </w:rPr>
        <w:t xml:space="preserve"> </w:t>
      </w:r>
      <w:commentRangeStart w:id="1"/>
      <w:r w:rsidR="00070CA7">
        <w:rPr>
          <w:i/>
          <w:iCs/>
        </w:rPr>
        <w:t xml:space="preserve">(Cui </w:t>
      </w:r>
      <w:r w:rsidR="00070CA7">
        <w:t>et al.</w:t>
      </w:r>
      <w:r w:rsidR="00070CA7">
        <w:rPr>
          <w:i/>
          <w:iCs/>
        </w:rPr>
        <w:t xml:space="preserve"> 2019)</w:t>
      </w:r>
      <w:r>
        <w:t xml:space="preserve">: </w:t>
      </w:r>
      <w:commentRangeEnd w:id="1"/>
      <w:r w:rsidR="00070CA7">
        <w:rPr>
          <w:rStyle w:val="CommentReference"/>
        </w:rPr>
        <w:commentReference w:id="1"/>
      </w:r>
      <w:r w:rsidR="008C0EC1" w:rsidRPr="008C0EC1">
        <w:t xml:space="preserve"> </w:t>
      </w:r>
      <w:r w:rsidR="008C0EC1">
        <w:t xml:space="preserve">The sequences were subsampled to a depth of </w:t>
      </w:r>
      <w:r w:rsidR="008C0EC1" w:rsidRPr="008C0EC1">
        <w:t>24390</w:t>
      </w:r>
      <w:r w:rsidR="008C0EC1">
        <w:t xml:space="preserve"> as this was the number of sequences in the sample with the fewest sequences present. </w:t>
      </w:r>
      <w:r w:rsidR="00E92BB6">
        <w:t>Alpha-diversity and species evenness were estimated using the Shannon diversity index and the inverse of Simpson’s evenness index, respectively. All diversity indices were calculated with mothur v. 1.39.3</w:t>
      </w:r>
      <w:r w:rsidR="00257369">
        <w:t xml:space="preserve">. </w:t>
      </w:r>
      <w:r w:rsidR="00257369" w:rsidRPr="00257369">
        <w:t>T</w:t>
      </w:r>
      <w:r w:rsidR="00257369">
        <w:t>h</w:t>
      </w:r>
      <w:r w:rsidR="00257369" w:rsidRPr="00257369">
        <w:t>e differences in indices among bacteria</w:t>
      </w:r>
      <w:r w:rsidR="00257369">
        <w:t xml:space="preserve"> present in Danville, J-Wax, Kanamycin-treated</w:t>
      </w:r>
      <w:r w:rsidR="0003266B">
        <w:t xml:space="preserve"> and control</w:t>
      </w:r>
      <w:r w:rsidR="00257369">
        <w:t xml:space="preserve"> samples</w:t>
      </w:r>
      <w:r w:rsidR="00257369" w:rsidRPr="00257369">
        <w:t xml:space="preserve"> were analyzed by one-way ANOVA followed by Tukey’s test. NMDS and </w:t>
      </w:r>
      <w:proofErr w:type="spellStart"/>
      <w:r w:rsidR="00257369" w:rsidRPr="00257369">
        <w:t>perMANOVA</w:t>
      </w:r>
      <w:proofErr w:type="spellEnd"/>
      <w:r w:rsidR="00257369" w:rsidRPr="00257369">
        <w:t xml:space="preserve"> were performed using the Vegan package in R</w:t>
      </w:r>
      <w:r w:rsidR="00257369">
        <w:t xml:space="preserve"> (</w:t>
      </w:r>
      <w:r w:rsidR="00E61A07" w:rsidRPr="00E61A07">
        <w:t>Oksanen</w:t>
      </w:r>
      <w:r w:rsidR="00E61A07">
        <w:t xml:space="preserve"> </w:t>
      </w:r>
      <w:r w:rsidR="00E61A07">
        <w:rPr>
          <w:i/>
          <w:iCs/>
        </w:rPr>
        <w:t>et al.</w:t>
      </w:r>
      <w:r w:rsidR="00E61A07">
        <w:t xml:space="preserve"> 2013</w:t>
      </w:r>
      <w:r w:rsidR="00257369">
        <w:t>)</w:t>
      </w:r>
      <w:r w:rsidR="00257369" w:rsidRPr="00257369">
        <w:t xml:space="preserve"> to compare and evaluate d</w:t>
      </w:r>
      <w:r w:rsidR="00257369">
        <w:t>ifferences</w:t>
      </w:r>
      <w:r w:rsidR="00257369" w:rsidRPr="00257369">
        <w:t xml:space="preserve"> between bacterial communities in</w:t>
      </w:r>
      <w:r w:rsidR="00257369">
        <w:t xml:space="preserve"> the two strains and two treatment types. </w:t>
      </w:r>
      <w:proofErr w:type="spellStart"/>
      <w:r w:rsidR="00257369">
        <w:t>Barplots</w:t>
      </w:r>
      <w:proofErr w:type="spellEnd"/>
      <w:r w:rsidR="00257369">
        <w:t xml:space="preserve"> of phylum and </w:t>
      </w:r>
      <w:proofErr w:type="spellStart"/>
      <w:r w:rsidR="00257369">
        <w:t>genuses</w:t>
      </w:r>
      <w:proofErr w:type="spellEnd"/>
      <w:r w:rsidR="00257369">
        <w:t xml:space="preserve"> present in each sample were constructed, along with a</w:t>
      </w:r>
      <w:r w:rsidR="00257369" w:rsidRPr="00257369">
        <w:t xml:space="preserve"> heatmap </w:t>
      </w:r>
      <w:r w:rsidR="00257369">
        <w:t>containing</w:t>
      </w:r>
      <w:r w:rsidR="00257369" w:rsidRPr="00257369">
        <w:t xml:space="preserve"> the </w:t>
      </w:r>
      <w:r w:rsidR="00257369">
        <w:t>20</w:t>
      </w:r>
      <w:r w:rsidR="00257369" w:rsidRPr="00257369">
        <w:t xml:space="preserve"> most </w:t>
      </w:r>
      <w:r w:rsidR="00257369">
        <w:t>abundant</w:t>
      </w:r>
      <w:r w:rsidR="00257369" w:rsidRPr="00257369">
        <w:t xml:space="preserve"> </w:t>
      </w:r>
      <w:proofErr w:type="spellStart"/>
      <w:r w:rsidR="00257369">
        <w:t>genuses</w:t>
      </w:r>
      <w:proofErr w:type="spellEnd"/>
      <w:r w:rsidR="00257369" w:rsidRPr="00257369">
        <w:t xml:space="preserve"> in each sample to compare</w:t>
      </w:r>
      <w:r w:rsidR="00257369">
        <w:t xml:space="preserve"> how</w:t>
      </w:r>
      <w:r w:rsidR="00257369" w:rsidRPr="00257369">
        <w:t xml:space="preserve"> the bacterial community </w:t>
      </w:r>
      <w:r w:rsidR="00257369">
        <w:t>varies between treatments.</w:t>
      </w:r>
    </w:p>
    <w:p w14:paraId="7A944A8B" w14:textId="77777777" w:rsidR="00F2045D" w:rsidRPr="00794DE1" w:rsidRDefault="00F2045D" w:rsidP="00E92BB6"/>
    <w:p w14:paraId="23005781" w14:textId="2EDC8183" w:rsidR="00403FAF" w:rsidRDefault="00403FAF" w:rsidP="00403FAF">
      <w:r>
        <w:rPr>
          <w:b/>
          <w:bCs/>
        </w:rPr>
        <w:t>Results</w:t>
      </w:r>
    </w:p>
    <w:p w14:paraId="5C6152A8" w14:textId="5538CD91" w:rsidR="00403FAF" w:rsidRDefault="00403FAF" w:rsidP="00403FAF">
      <w:r>
        <w:rPr>
          <w:i/>
          <w:iCs/>
        </w:rPr>
        <w:t>Alpha diversity</w:t>
      </w:r>
      <w:r>
        <w:t>:</w:t>
      </w:r>
    </w:p>
    <w:p w14:paraId="32F98FF6" w14:textId="24EBED81" w:rsidR="008C0EC1" w:rsidRDefault="008C0EC1" w:rsidP="00403FAF">
      <w:r>
        <w:rPr>
          <w:noProof/>
        </w:rPr>
        <w:drawing>
          <wp:inline distT="0" distB="0" distL="0" distR="0" wp14:anchorId="0A032889" wp14:editId="3636CBDD">
            <wp:extent cx="2716207" cy="2133600"/>
            <wp:effectExtent l="0" t="0" r="8255"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annon alpha divers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2537" cy="2138572"/>
                    </a:xfrm>
                    <a:prstGeom prst="rect">
                      <a:avLst/>
                    </a:prstGeom>
                  </pic:spPr>
                </pic:pic>
              </a:graphicData>
            </a:graphic>
          </wp:inline>
        </w:drawing>
      </w:r>
      <w:r>
        <w:rPr>
          <w:noProof/>
        </w:rPr>
        <w:drawing>
          <wp:inline distT="0" distB="0" distL="0" distR="0" wp14:anchorId="5E763420" wp14:editId="7EFEEE92">
            <wp:extent cx="2765202" cy="2156460"/>
            <wp:effectExtent l="0" t="0" r="0" b="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verse simpson alpha diversi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5213" cy="2164268"/>
                    </a:xfrm>
                    <a:prstGeom prst="rect">
                      <a:avLst/>
                    </a:prstGeom>
                  </pic:spPr>
                </pic:pic>
              </a:graphicData>
            </a:graphic>
          </wp:inline>
        </w:drawing>
      </w:r>
    </w:p>
    <w:p w14:paraId="27ABC7D6" w14:textId="64A5201F" w:rsidR="00CF574E" w:rsidRDefault="00CF574E" w:rsidP="00CF574E">
      <w:pPr>
        <w:jc w:val="center"/>
      </w:pPr>
      <w:r w:rsidRPr="00CF574E">
        <w:rPr>
          <w:b/>
          <w:bCs/>
          <w:sz w:val="18"/>
          <w:szCs w:val="18"/>
        </w:rPr>
        <w:t xml:space="preserve">Figure </w:t>
      </w:r>
      <w:r>
        <w:rPr>
          <w:b/>
          <w:bCs/>
          <w:sz w:val="18"/>
          <w:szCs w:val="18"/>
        </w:rPr>
        <w:t>1</w:t>
      </w:r>
      <w:r w:rsidRPr="00CF574E">
        <w:rPr>
          <w:b/>
          <w:bCs/>
          <w:sz w:val="18"/>
          <w:szCs w:val="18"/>
        </w:rPr>
        <w:t>.</w:t>
      </w:r>
      <w:r w:rsidRPr="00CF574E">
        <w:rPr>
          <w:sz w:val="18"/>
          <w:szCs w:val="18"/>
        </w:rPr>
        <w:t xml:space="preserve"> </w:t>
      </w:r>
      <w:r>
        <w:rPr>
          <w:sz w:val="18"/>
          <w:szCs w:val="18"/>
        </w:rPr>
        <w:t>Alpha diversity (</w:t>
      </w:r>
      <w:proofErr w:type="gramStart"/>
      <w:r w:rsidR="0080212C">
        <w:rPr>
          <w:sz w:val="18"/>
          <w:szCs w:val="18"/>
        </w:rPr>
        <w:t>l</w:t>
      </w:r>
      <w:r w:rsidR="00F62AA7">
        <w:rPr>
          <w:sz w:val="18"/>
          <w:szCs w:val="18"/>
        </w:rPr>
        <w:t>eft:</w:t>
      </w:r>
      <w:proofErr w:type="gramEnd"/>
      <w:r w:rsidR="00F62AA7">
        <w:rPr>
          <w:sz w:val="18"/>
          <w:szCs w:val="18"/>
        </w:rPr>
        <w:t xml:space="preserve"> </w:t>
      </w:r>
      <w:r>
        <w:rPr>
          <w:sz w:val="18"/>
          <w:szCs w:val="18"/>
        </w:rPr>
        <w:t>Shannon</w:t>
      </w:r>
      <w:r w:rsidR="00F62AA7">
        <w:rPr>
          <w:sz w:val="18"/>
          <w:szCs w:val="18"/>
        </w:rPr>
        <w:t xml:space="preserve">, </w:t>
      </w:r>
      <w:r w:rsidR="0080212C">
        <w:rPr>
          <w:sz w:val="18"/>
          <w:szCs w:val="18"/>
        </w:rPr>
        <w:t>right</w:t>
      </w:r>
      <w:r w:rsidR="00F62AA7">
        <w:rPr>
          <w:sz w:val="18"/>
          <w:szCs w:val="18"/>
        </w:rPr>
        <w:t>: Inverse Simpson</w:t>
      </w:r>
      <w:r>
        <w:rPr>
          <w:sz w:val="18"/>
          <w:szCs w:val="18"/>
        </w:rPr>
        <w:t>)</w:t>
      </w:r>
      <w:r w:rsidRPr="00CF574E">
        <w:rPr>
          <w:sz w:val="18"/>
          <w:szCs w:val="18"/>
        </w:rPr>
        <w:t xml:space="preserve"> categorized by treatment</w:t>
      </w:r>
    </w:p>
    <w:p w14:paraId="29DFD946" w14:textId="3EFA9BFA" w:rsidR="00677E01" w:rsidRDefault="0058282C" w:rsidP="00403FAF">
      <w:pPr>
        <w:rPr>
          <w:noProof/>
        </w:rPr>
      </w:pPr>
      <w:r>
        <w:t>Cockroach guts treated with kanamycin were less diverse than cockroach guts in the control group, suggesting that kanamycin eliminated a wide variety of bacterial taxa from the whole gut during the 72-hour treatment window before gut extraction.</w:t>
      </w:r>
    </w:p>
    <w:p w14:paraId="59784577" w14:textId="301724FC" w:rsidR="00677E01" w:rsidRDefault="00496AEC" w:rsidP="00403FAF">
      <w:pPr>
        <w:rPr>
          <w:noProof/>
        </w:rPr>
      </w:pPr>
      <w:commentRangeStart w:id="2"/>
      <w:r>
        <w:rPr>
          <w:noProof/>
        </w:rPr>
        <w:lastRenderedPageBreak/>
        <w:drawing>
          <wp:inline distT="0" distB="0" distL="0" distR="0" wp14:anchorId="03CB7E4B" wp14:editId="3D12A316">
            <wp:extent cx="3916680" cy="1859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ova of shannon and inverse simpson.PNG"/>
                    <pic:cNvPicPr/>
                  </pic:nvPicPr>
                  <pic:blipFill rotWithShape="1">
                    <a:blip r:embed="rId11">
                      <a:extLst>
                        <a:ext uri="{28A0092B-C50C-407E-A947-70E740481C1C}">
                          <a14:useLocalDpi xmlns:a14="http://schemas.microsoft.com/office/drawing/2010/main" val="0"/>
                        </a:ext>
                      </a:extLst>
                    </a:blip>
                    <a:srcRect r="21406" b="7925"/>
                    <a:stretch/>
                  </pic:blipFill>
                  <pic:spPr bwMode="auto">
                    <a:xfrm>
                      <a:off x="0" y="0"/>
                      <a:ext cx="3917020" cy="1859441"/>
                    </a:xfrm>
                    <a:prstGeom prst="rect">
                      <a:avLst/>
                    </a:prstGeom>
                    <a:ln>
                      <a:noFill/>
                    </a:ln>
                    <a:extLst>
                      <a:ext uri="{53640926-AAD7-44D8-BBD7-CCE9431645EC}">
                        <a14:shadowObscured xmlns:a14="http://schemas.microsoft.com/office/drawing/2010/main"/>
                      </a:ext>
                    </a:extLst>
                  </pic:spPr>
                </pic:pic>
              </a:graphicData>
            </a:graphic>
          </wp:inline>
        </w:drawing>
      </w:r>
      <w:commentRangeEnd w:id="2"/>
      <w:r w:rsidR="0013406F">
        <w:rPr>
          <w:rStyle w:val="CommentReference"/>
        </w:rPr>
        <w:commentReference w:id="2"/>
      </w:r>
    </w:p>
    <w:p w14:paraId="02F2B104" w14:textId="77777777" w:rsidR="00B55947" w:rsidRDefault="00B55947" w:rsidP="00403FAF">
      <w:pPr>
        <w:rPr>
          <w:noProof/>
        </w:rPr>
      </w:pPr>
    </w:p>
    <w:p w14:paraId="3E958F1B" w14:textId="65049CA1" w:rsidR="00FA28E1" w:rsidRDefault="00677E01" w:rsidP="00403FAF">
      <w:r>
        <w:rPr>
          <w:noProof/>
        </w:rPr>
        <w:drawing>
          <wp:inline distT="0" distB="0" distL="0" distR="0" wp14:anchorId="1961C04D" wp14:editId="66D4ADD0">
            <wp:extent cx="3947160" cy="158496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ruskal wallis of shannon and inverse simpson diversity.PNG"/>
                    <pic:cNvPicPr/>
                  </pic:nvPicPr>
                  <pic:blipFill rotWithShape="1">
                    <a:blip r:embed="rId12">
                      <a:extLst>
                        <a:ext uri="{28A0092B-C50C-407E-A947-70E740481C1C}">
                          <a14:useLocalDpi xmlns:a14="http://schemas.microsoft.com/office/drawing/2010/main" val="0"/>
                        </a:ext>
                      </a:extLst>
                    </a:blip>
                    <a:srcRect r="7168" b="11111"/>
                    <a:stretch/>
                  </pic:blipFill>
                  <pic:spPr bwMode="auto">
                    <a:xfrm>
                      <a:off x="0" y="0"/>
                      <a:ext cx="3947503" cy="1585098"/>
                    </a:xfrm>
                    <a:prstGeom prst="rect">
                      <a:avLst/>
                    </a:prstGeom>
                    <a:ln>
                      <a:noFill/>
                    </a:ln>
                    <a:extLst>
                      <a:ext uri="{53640926-AAD7-44D8-BBD7-CCE9431645EC}">
                        <a14:shadowObscured xmlns:a14="http://schemas.microsoft.com/office/drawing/2010/main"/>
                      </a:ext>
                    </a:extLst>
                  </pic:spPr>
                </pic:pic>
              </a:graphicData>
            </a:graphic>
          </wp:inline>
        </w:drawing>
      </w:r>
    </w:p>
    <w:p w14:paraId="7CF9BA1B" w14:textId="1E2F26E9" w:rsidR="0058282C" w:rsidRDefault="003A1737" w:rsidP="00403FAF">
      <w:r>
        <w:t>Antibiotic t</w:t>
      </w:r>
      <w:r w:rsidR="0058282C">
        <w:t>reatment had a significant effect on microbial diversity in both Danville and J-wax guts</w:t>
      </w:r>
      <w:r w:rsidR="00B55947">
        <w:t xml:space="preserve"> (p-values: Shannon: 0.000135, inverse Simpson: 0.0107)</w:t>
      </w:r>
      <w:r w:rsidR="0058282C">
        <w:t xml:space="preserve">. </w:t>
      </w:r>
      <w:r w:rsidR="0058282C" w:rsidRPr="00750165">
        <w:t>There</w:t>
      </w:r>
      <w:r w:rsidR="0058282C">
        <w:t xml:space="preserve"> are not significant differences in</w:t>
      </w:r>
      <w:r w:rsidR="0058282C">
        <w:t xml:space="preserve"> gut</w:t>
      </w:r>
      <w:r w:rsidR="0058282C">
        <w:t xml:space="preserve"> microbial diversity between the Danville and J-wax cockroach strains when treatment is not considered (</w:t>
      </w:r>
      <w:r w:rsidR="00B55947">
        <w:t>p-values: Shannon: 0.411204, inverse Simpson:</w:t>
      </w:r>
      <w:r w:rsidR="00B55947">
        <w:t xml:space="preserve"> 0.8528</w:t>
      </w:r>
      <w:r w:rsidR="0058282C">
        <w:t>).</w:t>
      </w:r>
      <w:r w:rsidR="00B55947">
        <w:t xml:space="preserve"> The p-values for combined </w:t>
      </w:r>
      <w:proofErr w:type="gramStart"/>
      <w:r w:rsidR="00B55947">
        <w:t>Treatment:Strain</w:t>
      </w:r>
      <w:proofErr w:type="gramEnd"/>
      <w:r w:rsidR="00B55947">
        <w:t xml:space="preserve"> interaction are 0.058173 and 0.5006 for Shannon and inverse Simpson’s diversity, respectively.</w:t>
      </w:r>
    </w:p>
    <w:p w14:paraId="1DFD3B4A" w14:textId="11CAC348" w:rsidR="00662109" w:rsidRDefault="00662109" w:rsidP="00662109">
      <w:r w:rsidRPr="00403FAF">
        <w:rPr>
          <w:i/>
          <w:iCs/>
        </w:rPr>
        <w:t>Beta diversity</w:t>
      </w:r>
      <w:r>
        <w:t xml:space="preserve">: </w:t>
      </w:r>
    </w:p>
    <w:p w14:paraId="63DC9B29" w14:textId="0D966911" w:rsidR="008C0EC1" w:rsidRDefault="0041677D" w:rsidP="00662109">
      <w:r>
        <w:rPr>
          <w:noProof/>
        </w:rPr>
        <w:drawing>
          <wp:inline distT="0" distB="0" distL="0" distR="0" wp14:anchorId="458B2F92" wp14:editId="7EBB26F0">
            <wp:extent cx="2849521" cy="2781300"/>
            <wp:effectExtent l="0" t="0" r="825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ray curtis beta diversity.png"/>
                    <pic:cNvPicPr/>
                  </pic:nvPicPr>
                  <pic:blipFill>
                    <a:blip r:embed="rId13">
                      <a:extLst>
                        <a:ext uri="{28A0092B-C50C-407E-A947-70E740481C1C}">
                          <a14:useLocalDpi xmlns:a14="http://schemas.microsoft.com/office/drawing/2010/main" val="0"/>
                        </a:ext>
                      </a:extLst>
                    </a:blip>
                    <a:stretch>
                      <a:fillRect/>
                    </a:stretch>
                  </pic:blipFill>
                  <pic:spPr>
                    <a:xfrm>
                      <a:off x="0" y="0"/>
                      <a:ext cx="2859272" cy="2790817"/>
                    </a:xfrm>
                    <a:prstGeom prst="rect">
                      <a:avLst/>
                    </a:prstGeom>
                  </pic:spPr>
                </pic:pic>
              </a:graphicData>
            </a:graphic>
          </wp:inline>
        </w:drawing>
      </w:r>
      <w:r>
        <w:rPr>
          <w:noProof/>
        </w:rPr>
        <w:drawing>
          <wp:inline distT="0" distB="0" distL="0" distR="0" wp14:anchorId="5E49621A" wp14:editId="77D2A649">
            <wp:extent cx="2839025" cy="27813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ccard beta diversity.png"/>
                    <pic:cNvPicPr/>
                  </pic:nvPicPr>
                  <pic:blipFill>
                    <a:blip r:embed="rId14">
                      <a:extLst>
                        <a:ext uri="{28A0092B-C50C-407E-A947-70E740481C1C}">
                          <a14:useLocalDpi xmlns:a14="http://schemas.microsoft.com/office/drawing/2010/main" val="0"/>
                        </a:ext>
                      </a:extLst>
                    </a:blip>
                    <a:stretch>
                      <a:fillRect/>
                    </a:stretch>
                  </pic:blipFill>
                  <pic:spPr>
                    <a:xfrm>
                      <a:off x="0" y="0"/>
                      <a:ext cx="2844877" cy="2787033"/>
                    </a:xfrm>
                    <a:prstGeom prst="rect">
                      <a:avLst/>
                    </a:prstGeom>
                  </pic:spPr>
                </pic:pic>
              </a:graphicData>
            </a:graphic>
          </wp:inline>
        </w:drawing>
      </w:r>
    </w:p>
    <w:p w14:paraId="3E5BE67C" w14:textId="59C40F49" w:rsidR="00677E01" w:rsidRPr="00403FAF" w:rsidRDefault="00CF574E" w:rsidP="00F55D69">
      <w:pPr>
        <w:jc w:val="center"/>
      </w:pPr>
      <w:r w:rsidRPr="00CF574E">
        <w:rPr>
          <w:b/>
          <w:bCs/>
          <w:sz w:val="18"/>
          <w:szCs w:val="18"/>
        </w:rPr>
        <w:lastRenderedPageBreak/>
        <w:t xml:space="preserve">Figure </w:t>
      </w:r>
      <w:r>
        <w:rPr>
          <w:b/>
          <w:bCs/>
          <w:sz w:val="18"/>
          <w:szCs w:val="18"/>
        </w:rPr>
        <w:t>2</w:t>
      </w:r>
      <w:r w:rsidRPr="00CF574E">
        <w:rPr>
          <w:b/>
          <w:bCs/>
          <w:sz w:val="18"/>
          <w:szCs w:val="18"/>
        </w:rPr>
        <w:t>.</w:t>
      </w:r>
      <w:r w:rsidRPr="00CF574E">
        <w:rPr>
          <w:sz w:val="18"/>
          <w:szCs w:val="18"/>
        </w:rPr>
        <w:t xml:space="preserve"> </w:t>
      </w:r>
      <w:r w:rsidR="006B04BB">
        <w:rPr>
          <w:sz w:val="18"/>
          <w:szCs w:val="18"/>
        </w:rPr>
        <w:t>NMDS</w:t>
      </w:r>
      <w:r>
        <w:rPr>
          <w:sz w:val="18"/>
          <w:szCs w:val="18"/>
        </w:rPr>
        <w:t xml:space="preserve"> of beta-diversity (</w:t>
      </w:r>
      <w:r w:rsidR="0041677D">
        <w:rPr>
          <w:sz w:val="18"/>
          <w:szCs w:val="18"/>
        </w:rPr>
        <w:t xml:space="preserve">left: </w:t>
      </w:r>
      <w:r w:rsidR="00677E01">
        <w:rPr>
          <w:sz w:val="18"/>
          <w:szCs w:val="18"/>
        </w:rPr>
        <w:t>Bray-Curtis</w:t>
      </w:r>
      <w:r w:rsidR="0041677D">
        <w:rPr>
          <w:sz w:val="18"/>
          <w:szCs w:val="18"/>
        </w:rPr>
        <w:t>, right: Jaccard</w:t>
      </w:r>
      <w:r>
        <w:rPr>
          <w:sz w:val="18"/>
          <w:szCs w:val="18"/>
        </w:rPr>
        <w:t>) categorized by treatment</w:t>
      </w:r>
    </w:p>
    <w:p w14:paraId="1308A567" w14:textId="4DBE2B6C" w:rsidR="0058282C" w:rsidRPr="0058282C" w:rsidRDefault="0058282C" w:rsidP="00403FAF">
      <w:commentRangeStart w:id="3"/>
      <w:r>
        <w:t>Bacterial communities were unique to each treatment type in terms of their taxonomic diversities.</w:t>
      </w:r>
      <w:commentRangeEnd w:id="3"/>
      <w:r>
        <w:rPr>
          <w:rStyle w:val="CommentReference"/>
        </w:rPr>
        <w:commentReference w:id="3"/>
      </w:r>
    </w:p>
    <w:p w14:paraId="3AE9E278" w14:textId="12B05DBC" w:rsidR="008D070F" w:rsidRPr="00B45CE5" w:rsidRDefault="00662109" w:rsidP="00403FAF">
      <w:pPr>
        <w:rPr>
          <w:i/>
          <w:iCs/>
        </w:rPr>
      </w:pPr>
      <w:r w:rsidRPr="00662109">
        <w:rPr>
          <w:i/>
          <w:iCs/>
        </w:rPr>
        <w:t>Differential abundance by treatment:</w:t>
      </w:r>
    </w:p>
    <w:p w14:paraId="77E0646D" w14:textId="46804F66" w:rsidR="00B45CE5" w:rsidRDefault="00B45CE5" w:rsidP="00403FAF">
      <w:r>
        <w:rPr>
          <w:noProof/>
        </w:rPr>
        <w:drawing>
          <wp:inline distT="0" distB="0" distL="0" distR="0" wp14:anchorId="4372CF26" wp14:editId="7A6C0D5D">
            <wp:extent cx="6658016" cy="4000500"/>
            <wp:effectExtent l="0" t="0" r="9525" b="0"/>
            <wp:docPr id="25" name="Picture 25" descr="A group of colorful bl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op 5 genus by group bar grap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2196" cy="4003012"/>
                    </a:xfrm>
                    <a:prstGeom prst="rect">
                      <a:avLst/>
                    </a:prstGeom>
                  </pic:spPr>
                </pic:pic>
              </a:graphicData>
            </a:graphic>
          </wp:inline>
        </w:drawing>
      </w:r>
    </w:p>
    <w:p w14:paraId="57F81801" w14:textId="326484B6" w:rsidR="00CF574E" w:rsidRPr="00CF574E" w:rsidRDefault="00CF574E" w:rsidP="00CF574E">
      <w:pPr>
        <w:jc w:val="center"/>
        <w:rPr>
          <w:sz w:val="18"/>
          <w:szCs w:val="18"/>
        </w:rPr>
      </w:pPr>
      <w:r w:rsidRPr="00CF574E">
        <w:rPr>
          <w:b/>
          <w:bCs/>
          <w:sz w:val="18"/>
          <w:szCs w:val="18"/>
        </w:rPr>
        <w:t>Figure 3.</w:t>
      </w:r>
      <w:r w:rsidRPr="00CF574E">
        <w:rPr>
          <w:sz w:val="18"/>
          <w:szCs w:val="18"/>
        </w:rPr>
        <w:t xml:space="preserve"> Top 5 </w:t>
      </w:r>
      <w:proofErr w:type="spellStart"/>
      <w:r w:rsidRPr="00CF574E">
        <w:rPr>
          <w:sz w:val="18"/>
          <w:szCs w:val="18"/>
        </w:rPr>
        <w:t>genuses</w:t>
      </w:r>
      <w:proofErr w:type="spellEnd"/>
      <w:r w:rsidRPr="00CF574E">
        <w:rPr>
          <w:sz w:val="18"/>
          <w:szCs w:val="18"/>
        </w:rPr>
        <w:t xml:space="preserve"> present throughout the entire sequence categorized by treatment and replication</w:t>
      </w:r>
    </w:p>
    <w:p w14:paraId="4CDFE0BE" w14:textId="22CAA669" w:rsidR="00423143" w:rsidRDefault="00423143" w:rsidP="00403FAF"/>
    <w:p w14:paraId="71153701" w14:textId="5A145C79" w:rsidR="00917521" w:rsidRDefault="00B45CE5" w:rsidP="00403FAF">
      <w:pPr>
        <w:rPr>
          <w:noProof/>
        </w:rPr>
      </w:pPr>
      <w:r>
        <w:rPr>
          <w:noProof/>
        </w:rPr>
        <w:drawing>
          <wp:inline distT="0" distB="0" distL="0" distR="0" wp14:anchorId="7D7BB3F7" wp14:editId="186746AC">
            <wp:extent cx="3329940" cy="2736937"/>
            <wp:effectExtent l="0" t="0" r="3810" b="635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p 10 phyla bar graph.PNG"/>
                    <pic:cNvPicPr/>
                  </pic:nvPicPr>
                  <pic:blipFill>
                    <a:blip r:embed="rId16">
                      <a:extLst>
                        <a:ext uri="{28A0092B-C50C-407E-A947-70E740481C1C}">
                          <a14:useLocalDpi xmlns:a14="http://schemas.microsoft.com/office/drawing/2010/main" val="0"/>
                        </a:ext>
                      </a:extLst>
                    </a:blip>
                    <a:stretch>
                      <a:fillRect/>
                    </a:stretch>
                  </pic:blipFill>
                  <pic:spPr>
                    <a:xfrm>
                      <a:off x="0" y="0"/>
                      <a:ext cx="3351689" cy="2754813"/>
                    </a:xfrm>
                    <a:prstGeom prst="rect">
                      <a:avLst/>
                    </a:prstGeom>
                  </pic:spPr>
                </pic:pic>
              </a:graphicData>
            </a:graphic>
          </wp:inline>
        </w:drawing>
      </w:r>
    </w:p>
    <w:p w14:paraId="11980059" w14:textId="4C2AF80B" w:rsidR="00CF574E" w:rsidRPr="00917521" w:rsidRDefault="00CF574E" w:rsidP="00D67CF0">
      <w:pPr>
        <w:jc w:val="center"/>
      </w:pPr>
      <w:r w:rsidRPr="00CF574E">
        <w:rPr>
          <w:b/>
          <w:bCs/>
          <w:sz w:val="18"/>
          <w:szCs w:val="18"/>
        </w:rPr>
        <w:lastRenderedPageBreak/>
        <w:t xml:space="preserve">Figure </w:t>
      </w:r>
      <w:r w:rsidR="001B6D0F">
        <w:rPr>
          <w:b/>
          <w:bCs/>
          <w:sz w:val="18"/>
          <w:szCs w:val="18"/>
        </w:rPr>
        <w:t>4</w:t>
      </w:r>
      <w:r w:rsidRPr="00CF574E">
        <w:rPr>
          <w:b/>
          <w:bCs/>
          <w:sz w:val="18"/>
          <w:szCs w:val="18"/>
        </w:rPr>
        <w:t>.</w:t>
      </w:r>
      <w:r w:rsidRPr="00CF574E">
        <w:rPr>
          <w:sz w:val="18"/>
          <w:szCs w:val="18"/>
        </w:rPr>
        <w:t xml:space="preserve"> </w:t>
      </w:r>
      <w:r w:rsidR="00B45CE5" w:rsidRPr="00CF574E">
        <w:rPr>
          <w:sz w:val="18"/>
          <w:szCs w:val="18"/>
        </w:rPr>
        <w:t xml:space="preserve">Top </w:t>
      </w:r>
      <w:r w:rsidR="00B45CE5">
        <w:rPr>
          <w:sz w:val="18"/>
          <w:szCs w:val="18"/>
        </w:rPr>
        <w:t>10</w:t>
      </w:r>
      <w:r w:rsidR="00B45CE5" w:rsidRPr="00CF574E">
        <w:rPr>
          <w:sz w:val="18"/>
          <w:szCs w:val="18"/>
        </w:rPr>
        <w:t xml:space="preserve"> </w:t>
      </w:r>
      <w:r w:rsidR="00B45CE5">
        <w:rPr>
          <w:sz w:val="18"/>
          <w:szCs w:val="18"/>
        </w:rPr>
        <w:t>phyla</w:t>
      </w:r>
      <w:r w:rsidR="00B45CE5" w:rsidRPr="00CF574E">
        <w:rPr>
          <w:sz w:val="18"/>
          <w:szCs w:val="18"/>
        </w:rPr>
        <w:t xml:space="preserve"> present throughout the entire sequence categorized by treatment and replication</w:t>
      </w:r>
    </w:p>
    <w:p w14:paraId="62C53473" w14:textId="67AC4410" w:rsidR="00423143" w:rsidRDefault="00313445" w:rsidP="00403FAF">
      <w:r>
        <w:rPr>
          <w:noProof/>
        </w:rPr>
        <w:drawing>
          <wp:inline distT="0" distB="0" distL="0" distR="0" wp14:anchorId="5A2BC966" wp14:editId="4C2A39FD">
            <wp:extent cx="3024293" cy="3002057"/>
            <wp:effectExtent l="0" t="0" r="5080" b="8255"/>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ylum composition of samples over 1%.PNG"/>
                    <pic:cNvPicPr/>
                  </pic:nvPicPr>
                  <pic:blipFill>
                    <a:blip r:embed="rId17">
                      <a:extLst>
                        <a:ext uri="{28A0092B-C50C-407E-A947-70E740481C1C}">
                          <a14:useLocalDpi xmlns:a14="http://schemas.microsoft.com/office/drawing/2010/main" val="0"/>
                        </a:ext>
                      </a:extLst>
                    </a:blip>
                    <a:stretch>
                      <a:fillRect/>
                    </a:stretch>
                  </pic:blipFill>
                  <pic:spPr>
                    <a:xfrm>
                      <a:off x="0" y="0"/>
                      <a:ext cx="3054568" cy="3032110"/>
                    </a:xfrm>
                    <a:prstGeom prst="rect">
                      <a:avLst/>
                    </a:prstGeom>
                  </pic:spPr>
                </pic:pic>
              </a:graphicData>
            </a:graphic>
          </wp:inline>
        </w:drawing>
      </w:r>
      <w:r w:rsidR="00BB2868">
        <w:rPr>
          <w:noProof/>
        </w:rPr>
        <w:drawing>
          <wp:inline distT="0" distB="0" distL="0" distR="0" wp14:anchorId="56BC1A17" wp14:editId="6E409241">
            <wp:extent cx="2872740" cy="2978150"/>
            <wp:effectExtent l="0" t="0" r="381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us composition of samples over 1%.PNG"/>
                    <pic:cNvPicPr/>
                  </pic:nvPicPr>
                  <pic:blipFill>
                    <a:blip r:embed="rId18">
                      <a:extLst>
                        <a:ext uri="{28A0092B-C50C-407E-A947-70E740481C1C}">
                          <a14:useLocalDpi xmlns:a14="http://schemas.microsoft.com/office/drawing/2010/main" val="0"/>
                        </a:ext>
                      </a:extLst>
                    </a:blip>
                    <a:stretch>
                      <a:fillRect/>
                    </a:stretch>
                  </pic:blipFill>
                  <pic:spPr>
                    <a:xfrm>
                      <a:off x="0" y="0"/>
                      <a:ext cx="2893424" cy="2999593"/>
                    </a:xfrm>
                    <a:prstGeom prst="rect">
                      <a:avLst/>
                    </a:prstGeom>
                  </pic:spPr>
                </pic:pic>
              </a:graphicData>
            </a:graphic>
          </wp:inline>
        </w:drawing>
      </w:r>
    </w:p>
    <w:p w14:paraId="2C4ED20A" w14:textId="1A62F776" w:rsidR="00CF574E" w:rsidRDefault="00CF574E" w:rsidP="00CF574E">
      <w:pPr>
        <w:jc w:val="center"/>
        <w:rPr>
          <w:sz w:val="18"/>
          <w:szCs w:val="18"/>
        </w:rPr>
      </w:pPr>
      <w:r w:rsidRPr="00CF574E">
        <w:rPr>
          <w:b/>
          <w:bCs/>
          <w:sz w:val="18"/>
          <w:szCs w:val="18"/>
        </w:rPr>
        <w:t>Figure</w:t>
      </w:r>
      <w:r w:rsidR="00306ED8">
        <w:rPr>
          <w:b/>
          <w:bCs/>
          <w:sz w:val="18"/>
          <w:szCs w:val="18"/>
        </w:rPr>
        <w:t>s</w:t>
      </w:r>
      <w:r w:rsidRPr="00CF574E">
        <w:rPr>
          <w:b/>
          <w:bCs/>
          <w:sz w:val="18"/>
          <w:szCs w:val="18"/>
        </w:rPr>
        <w:t xml:space="preserve"> </w:t>
      </w:r>
      <w:r w:rsidR="001B6D0F">
        <w:rPr>
          <w:b/>
          <w:bCs/>
          <w:sz w:val="18"/>
          <w:szCs w:val="18"/>
        </w:rPr>
        <w:t>5</w:t>
      </w:r>
      <w:r w:rsidR="00BB2868">
        <w:rPr>
          <w:b/>
          <w:bCs/>
          <w:sz w:val="18"/>
          <w:szCs w:val="18"/>
        </w:rPr>
        <w:t xml:space="preserve"> &amp; 6</w:t>
      </w:r>
      <w:r w:rsidRPr="00CF574E">
        <w:rPr>
          <w:b/>
          <w:bCs/>
          <w:sz w:val="18"/>
          <w:szCs w:val="18"/>
        </w:rPr>
        <w:t>.</w:t>
      </w:r>
      <w:r w:rsidRPr="00CF574E">
        <w:rPr>
          <w:sz w:val="18"/>
          <w:szCs w:val="18"/>
        </w:rPr>
        <w:t xml:space="preserve"> </w:t>
      </w:r>
      <w:r>
        <w:rPr>
          <w:sz w:val="18"/>
          <w:szCs w:val="18"/>
        </w:rPr>
        <w:t>Phyla</w:t>
      </w:r>
      <w:r w:rsidR="00BB2868">
        <w:rPr>
          <w:sz w:val="18"/>
          <w:szCs w:val="18"/>
        </w:rPr>
        <w:t xml:space="preserve"> (5) and </w:t>
      </w:r>
      <w:proofErr w:type="spellStart"/>
      <w:r w:rsidR="00BB2868">
        <w:rPr>
          <w:sz w:val="18"/>
          <w:szCs w:val="18"/>
        </w:rPr>
        <w:t>Genuses</w:t>
      </w:r>
      <w:proofErr w:type="spellEnd"/>
      <w:r w:rsidR="00BB2868">
        <w:rPr>
          <w:sz w:val="18"/>
          <w:szCs w:val="18"/>
        </w:rPr>
        <w:t xml:space="preserve"> (6)</w:t>
      </w:r>
      <w:r w:rsidRPr="00CF574E">
        <w:rPr>
          <w:sz w:val="18"/>
          <w:szCs w:val="18"/>
        </w:rPr>
        <w:t xml:space="preserve"> </w:t>
      </w:r>
      <w:commentRangeStart w:id="4"/>
      <w:r w:rsidRPr="00CF574E">
        <w:rPr>
          <w:sz w:val="18"/>
          <w:szCs w:val="18"/>
        </w:rPr>
        <w:t>present</w:t>
      </w:r>
      <w:r>
        <w:rPr>
          <w:sz w:val="18"/>
          <w:szCs w:val="18"/>
        </w:rPr>
        <w:t xml:space="preserve"> in relative abundance </w:t>
      </w:r>
      <w:commentRangeEnd w:id="4"/>
      <w:r>
        <w:rPr>
          <w:rStyle w:val="CommentReference"/>
        </w:rPr>
        <w:commentReference w:id="4"/>
      </w:r>
      <w:r>
        <w:rPr>
          <w:sz w:val="18"/>
          <w:szCs w:val="18"/>
        </w:rPr>
        <w:t>over 1%</w:t>
      </w:r>
      <w:r w:rsidRPr="00CF574E">
        <w:rPr>
          <w:sz w:val="18"/>
          <w:szCs w:val="18"/>
        </w:rPr>
        <w:t xml:space="preserve"> throughout the entire sequence categorized by treatment and replication</w:t>
      </w:r>
      <w:r w:rsidR="000630BA">
        <w:rPr>
          <w:sz w:val="18"/>
          <w:szCs w:val="18"/>
        </w:rPr>
        <w:t>.</w:t>
      </w:r>
    </w:p>
    <w:p w14:paraId="6AD63639" w14:textId="725A34C2" w:rsidR="002810E1" w:rsidRDefault="002810E1" w:rsidP="002810E1">
      <w:r>
        <w:t xml:space="preserve">When the Danville strain was fed antibiotics, </w:t>
      </w:r>
      <w:r w:rsidRPr="00B13011">
        <w:rPr>
          <w:i/>
          <w:iCs/>
        </w:rPr>
        <w:t>Stenotrophomonas</w:t>
      </w:r>
      <w:r w:rsidRPr="00B13011">
        <w:t xml:space="preserve"> </w:t>
      </w:r>
      <w:r>
        <w:t xml:space="preserve">spp. was substantially greater in abundance than all other </w:t>
      </w:r>
      <w:proofErr w:type="spellStart"/>
      <w:r>
        <w:t>genuses</w:t>
      </w:r>
      <w:proofErr w:type="spellEnd"/>
      <w:r>
        <w:t xml:space="preserve"> combined. </w:t>
      </w:r>
      <w:r w:rsidRPr="00B13011">
        <w:t xml:space="preserve">In addition to an increase in </w:t>
      </w:r>
      <w:r w:rsidRPr="00B13011">
        <w:rPr>
          <w:i/>
          <w:iCs/>
        </w:rPr>
        <w:t>Stenotrophomonas</w:t>
      </w:r>
      <w:r w:rsidRPr="00B13011">
        <w:t xml:space="preserve">, kanamycin exposure effectively decreased the quantities of all other bacterial </w:t>
      </w:r>
      <w:proofErr w:type="spellStart"/>
      <w:r w:rsidRPr="00B13011">
        <w:t>genuses</w:t>
      </w:r>
      <w:proofErr w:type="spellEnd"/>
      <w:r w:rsidRPr="00B13011">
        <w:t xml:space="preserve"> except for </w:t>
      </w:r>
      <w:proofErr w:type="spellStart"/>
      <w:r w:rsidRPr="00B13011">
        <w:rPr>
          <w:i/>
          <w:iCs/>
        </w:rPr>
        <w:t>Dysgonomonas</w:t>
      </w:r>
      <w:proofErr w:type="spellEnd"/>
      <w:r w:rsidRPr="00B13011">
        <w:t xml:space="preserve"> and a select group of unclassified </w:t>
      </w:r>
      <w:proofErr w:type="spellStart"/>
      <w:r w:rsidRPr="00B13011">
        <w:rPr>
          <w:i/>
          <w:iCs/>
        </w:rPr>
        <w:t>Bacteriodales</w:t>
      </w:r>
      <w:proofErr w:type="spellEnd"/>
      <w:r w:rsidRPr="00B13011">
        <w:t xml:space="preserve"> spp.</w:t>
      </w:r>
    </w:p>
    <w:p w14:paraId="1394DD05" w14:textId="689B84EB" w:rsidR="00C14FEA" w:rsidRDefault="00313445" w:rsidP="00403FAF">
      <w:r>
        <w:rPr>
          <w:noProof/>
        </w:rPr>
        <w:drawing>
          <wp:inline distT="0" distB="0" distL="0" distR="0" wp14:anchorId="517CEA3C" wp14:editId="31471A44">
            <wp:extent cx="4292479" cy="356616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p 20 otu heat map.PNG"/>
                    <pic:cNvPicPr/>
                  </pic:nvPicPr>
                  <pic:blipFill>
                    <a:blip r:embed="rId19">
                      <a:extLst>
                        <a:ext uri="{28A0092B-C50C-407E-A947-70E740481C1C}">
                          <a14:useLocalDpi xmlns:a14="http://schemas.microsoft.com/office/drawing/2010/main" val="0"/>
                        </a:ext>
                      </a:extLst>
                    </a:blip>
                    <a:stretch>
                      <a:fillRect/>
                    </a:stretch>
                  </pic:blipFill>
                  <pic:spPr>
                    <a:xfrm>
                      <a:off x="0" y="0"/>
                      <a:ext cx="4303012" cy="3574911"/>
                    </a:xfrm>
                    <a:prstGeom prst="rect">
                      <a:avLst/>
                    </a:prstGeom>
                  </pic:spPr>
                </pic:pic>
              </a:graphicData>
            </a:graphic>
          </wp:inline>
        </w:drawing>
      </w:r>
    </w:p>
    <w:p w14:paraId="4F890CD3" w14:textId="1098DEA7" w:rsidR="00CF574E" w:rsidRDefault="00CF574E" w:rsidP="00D500F0">
      <w:pPr>
        <w:jc w:val="center"/>
      </w:pPr>
      <w:r w:rsidRPr="00CF574E">
        <w:rPr>
          <w:b/>
          <w:bCs/>
          <w:sz w:val="18"/>
          <w:szCs w:val="18"/>
        </w:rPr>
        <w:lastRenderedPageBreak/>
        <w:t xml:space="preserve">Figure </w:t>
      </w:r>
      <w:r w:rsidR="001B6D0F">
        <w:rPr>
          <w:b/>
          <w:bCs/>
          <w:sz w:val="18"/>
          <w:szCs w:val="18"/>
        </w:rPr>
        <w:t>7</w:t>
      </w:r>
      <w:r w:rsidRPr="00CF574E">
        <w:rPr>
          <w:b/>
          <w:bCs/>
          <w:sz w:val="18"/>
          <w:szCs w:val="18"/>
        </w:rPr>
        <w:t>.</w:t>
      </w:r>
      <w:r w:rsidRPr="00CF574E">
        <w:rPr>
          <w:sz w:val="18"/>
          <w:szCs w:val="18"/>
        </w:rPr>
        <w:t xml:space="preserve"> </w:t>
      </w:r>
      <w:r>
        <w:rPr>
          <w:sz w:val="18"/>
          <w:szCs w:val="18"/>
        </w:rPr>
        <w:t xml:space="preserve">Heat map of top 20 </w:t>
      </w:r>
      <w:proofErr w:type="spellStart"/>
      <w:r>
        <w:rPr>
          <w:sz w:val="18"/>
          <w:szCs w:val="18"/>
        </w:rPr>
        <w:t>genuses</w:t>
      </w:r>
      <w:proofErr w:type="spellEnd"/>
      <w:r w:rsidRPr="00CF574E">
        <w:rPr>
          <w:sz w:val="18"/>
          <w:szCs w:val="18"/>
        </w:rPr>
        <w:t xml:space="preserve"> throughout the entire sequence categorized by treatment and replication</w:t>
      </w:r>
      <w:r w:rsidR="00D67CF0">
        <w:rPr>
          <w:sz w:val="18"/>
          <w:szCs w:val="18"/>
        </w:rPr>
        <w:t>. Gray = absent.</w:t>
      </w:r>
    </w:p>
    <w:p w14:paraId="5A10BF55" w14:textId="0A3D28E9" w:rsidR="00CF574E" w:rsidRDefault="0058282C" w:rsidP="00403FAF">
      <w:r>
        <w:t xml:space="preserve">While quantities of each genus might </w:t>
      </w:r>
      <w:r>
        <w:t>vary by treatment type and even by replication</w:t>
      </w:r>
      <w:r w:rsidR="00CC3EF2">
        <w:t xml:space="preserve"> within the same treatment type</w:t>
      </w:r>
      <w:r>
        <w:t>, most taxa are retained between each strain.</w:t>
      </w:r>
      <w:r w:rsidR="00CC3EF2">
        <w:t xml:space="preserve"> As expected, there are on average more reads in the control roach guts compared to the kanamycin-treated roach guts, further suggesting that kanamycin eliminated a large portion of the microbiome.</w:t>
      </w:r>
    </w:p>
    <w:p w14:paraId="76F46555" w14:textId="71DB0D5E" w:rsidR="00180568" w:rsidRDefault="00403FAF" w:rsidP="00180568">
      <w:commentRangeStart w:id="5"/>
      <w:r>
        <w:rPr>
          <w:i/>
          <w:iCs/>
        </w:rPr>
        <w:t xml:space="preserve">Differential abundance </w:t>
      </w:r>
      <w:r w:rsidR="00662109">
        <w:rPr>
          <w:i/>
          <w:iCs/>
        </w:rPr>
        <w:t>by DESeq2</w:t>
      </w:r>
      <w:r>
        <w:t xml:space="preserve">: </w:t>
      </w:r>
      <w:commentRangeEnd w:id="5"/>
      <w:r w:rsidR="00D67CF0">
        <w:rPr>
          <w:rStyle w:val="CommentReference"/>
        </w:rPr>
        <w:commentReference w:id="5"/>
      </w:r>
    </w:p>
    <w:p w14:paraId="282A77D8" w14:textId="5C0844CC" w:rsidR="00662109" w:rsidRDefault="00662109" w:rsidP="004D0B50">
      <w:pPr>
        <w:jc w:val="center"/>
      </w:pPr>
      <w:r>
        <w:rPr>
          <w:noProof/>
        </w:rPr>
        <w:drawing>
          <wp:inline distT="0" distB="0" distL="0" distR="0" wp14:anchorId="70B0DF9D" wp14:editId="0B16890C">
            <wp:extent cx="6789420" cy="3885403"/>
            <wp:effectExtent l="0" t="0" r="0" b="127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2fold change kanamycin vs aceto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08583" cy="3896369"/>
                    </a:xfrm>
                    <a:prstGeom prst="rect">
                      <a:avLst/>
                    </a:prstGeom>
                  </pic:spPr>
                </pic:pic>
              </a:graphicData>
            </a:graphic>
          </wp:inline>
        </w:drawing>
      </w:r>
    </w:p>
    <w:p w14:paraId="39ED4991" w14:textId="025E6068" w:rsidR="008D070F" w:rsidRDefault="001C0D64" w:rsidP="00F2045D">
      <w:pPr>
        <w:jc w:val="center"/>
      </w:pPr>
      <w:r w:rsidRPr="00CF574E">
        <w:rPr>
          <w:b/>
          <w:bCs/>
          <w:sz w:val="18"/>
          <w:szCs w:val="18"/>
        </w:rPr>
        <w:t xml:space="preserve">Figure </w:t>
      </w:r>
      <w:r w:rsidR="001B6D0F">
        <w:rPr>
          <w:b/>
          <w:bCs/>
          <w:sz w:val="18"/>
          <w:szCs w:val="18"/>
        </w:rPr>
        <w:t>8</w:t>
      </w:r>
      <w:r w:rsidRPr="00CF574E">
        <w:rPr>
          <w:b/>
          <w:bCs/>
          <w:sz w:val="18"/>
          <w:szCs w:val="18"/>
        </w:rPr>
        <w:t>.</w:t>
      </w:r>
      <w:r w:rsidRPr="00CF574E">
        <w:rPr>
          <w:sz w:val="18"/>
          <w:szCs w:val="18"/>
        </w:rPr>
        <w:t xml:space="preserve"> </w:t>
      </w:r>
      <w:r>
        <w:rPr>
          <w:sz w:val="18"/>
          <w:szCs w:val="18"/>
        </w:rPr>
        <w:t>Differential abundance between treatment types (</w:t>
      </w:r>
      <w:r w:rsidR="004B3925">
        <w:rPr>
          <w:sz w:val="18"/>
          <w:szCs w:val="18"/>
        </w:rPr>
        <w:t>control</w:t>
      </w:r>
      <w:r>
        <w:rPr>
          <w:sz w:val="18"/>
          <w:szCs w:val="18"/>
        </w:rPr>
        <w:t xml:space="preserve"> vs </w:t>
      </w:r>
      <w:r w:rsidR="00236C4D">
        <w:rPr>
          <w:sz w:val="18"/>
          <w:szCs w:val="18"/>
        </w:rPr>
        <w:t>k</w:t>
      </w:r>
      <w:r>
        <w:rPr>
          <w:sz w:val="18"/>
          <w:szCs w:val="18"/>
        </w:rPr>
        <w:t>anamycin) colored by phylum and labeled by genus. Positive log2FoldChange values indicate the presence of a genus is more indicative of a</w:t>
      </w:r>
      <w:r w:rsidR="004B3925">
        <w:rPr>
          <w:sz w:val="18"/>
          <w:szCs w:val="18"/>
        </w:rPr>
        <w:t xml:space="preserve"> </w:t>
      </w:r>
      <w:r>
        <w:rPr>
          <w:sz w:val="18"/>
          <w:szCs w:val="18"/>
        </w:rPr>
        <w:t>control treatment, whereas negative log2FoldChange values indicate the presence of a genus is more indicative of a kanamycin (antibiotic) treatment.</w:t>
      </w:r>
    </w:p>
    <w:p w14:paraId="51B38910" w14:textId="05C17CC0" w:rsidR="00F2045D" w:rsidRDefault="00230FA9" w:rsidP="00180568">
      <w:pPr>
        <w:rPr>
          <w:i/>
          <w:iCs/>
        </w:rPr>
      </w:pPr>
      <w:r>
        <w:t xml:space="preserve">A select group of </w:t>
      </w:r>
      <w:proofErr w:type="spellStart"/>
      <w:r>
        <w:t>genuses</w:t>
      </w:r>
      <w:proofErr w:type="spellEnd"/>
      <w:r>
        <w:t xml:space="preserve"> belonging to the </w:t>
      </w:r>
      <w:r>
        <w:rPr>
          <w:i/>
          <w:iCs/>
        </w:rPr>
        <w:t>Proteobacteria</w:t>
      </w:r>
      <w:r>
        <w:t xml:space="preserve"> phylum, in addition to some unknown </w:t>
      </w:r>
      <w:proofErr w:type="spellStart"/>
      <w:r>
        <w:rPr>
          <w:i/>
          <w:iCs/>
        </w:rPr>
        <w:t>Bacteroidota</w:t>
      </w:r>
      <w:proofErr w:type="spellEnd"/>
      <w:r>
        <w:t xml:space="preserve"> taxa, increased in quantity once the microbiome was exposed to kanamycin. Most other bacterial taxa decreased in quantity after kanamycin exposure.</w:t>
      </w:r>
    </w:p>
    <w:p w14:paraId="5DE3AC85" w14:textId="79A53372" w:rsidR="00F2045D" w:rsidRDefault="00403FAF" w:rsidP="00180568">
      <w:commentRangeStart w:id="6"/>
      <w:r>
        <w:rPr>
          <w:i/>
          <w:iCs/>
        </w:rPr>
        <w:t>Random forest analysis</w:t>
      </w:r>
      <w:r>
        <w:t>:</w:t>
      </w:r>
      <w:commentRangeEnd w:id="6"/>
      <w:r w:rsidR="00D67CF0">
        <w:rPr>
          <w:rStyle w:val="CommentReference"/>
        </w:rPr>
        <w:commentReference w:id="6"/>
      </w:r>
    </w:p>
    <w:p w14:paraId="5244A3F6" w14:textId="42053C36" w:rsidR="00403FAF" w:rsidRDefault="00403FAF" w:rsidP="00180568">
      <w:r>
        <w:lastRenderedPageBreak/>
        <w:t xml:space="preserve"> </w:t>
      </w:r>
      <w:r w:rsidR="00FB7A7B">
        <w:rPr>
          <w:noProof/>
        </w:rPr>
        <w:drawing>
          <wp:inline distT="0" distB="0" distL="0" distR="0" wp14:anchorId="7DF4C256" wp14:editId="68F60AB2">
            <wp:extent cx="4332273" cy="34671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st important otus kan vs control.PNG"/>
                    <pic:cNvPicPr/>
                  </pic:nvPicPr>
                  <pic:blipFill>
                    <a:blip r:embed="rId21">
                      <a:extLst>
                        <a:ext uri="{28A0092B-C50C-407E-A947-70E740481C1C}">
                          <a14:useLocalDpi xmlns:a14="http://schemas.microsoft.com/office/drawing/2010/main" val="0"/>
                        </a:ext>
                      </a:extLst>
                    </a:blip>
                    <a:stretch>
                      <a:fillRect/>
                    </a:stretch>
                  </pic:blipFill>
                  <pic:spPr>
                    <a:xfrm>
                      <a:off x="0" y="0"/>
                      <a:ext cx="4333304" cy="3467925"/>
                    </a:xfrm>
                    <a:prstGeom prst="rect">
                      <a:avLst/>
                    </a:prstGeom>
                  </pic:spPr>
                </pic:pic>
              </a:graphicData>
            </a:graphic>
          </wp:inline>
        </w:drawing>
      </w:r>
      <w:r w:rsidR="00FB7A7B">
        <w:rPr>
          <w:noProof/>
        </w:rPr>
        <w:drawing>
          <wp:inline distT="0" distB="0" distL="0" distR="0" wp14:anchorId="278704CD" wp14:editId="6387C8F0">
            <wp:extent cx="6514936" cy="14554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x table most important OTUs.PNG"/>
                    <pic:cNvPicPr/>
                  </pic:nvPicPr>
                  <pic:blipFill>
                    <a:blip r:embed="rId22">
                      <a:extLst>
                        <a:ext uri="{28A0092B-C50C-407E-A947-70E740481C1C}">
                          <a14:useLocalDpi xmlns:a14="http://schemas.microsoft.com/office/drawing/2010/main" val="0"/>
                        </a:ext>
                      </a:extLst>
                    </a:blip>
                    <a:stretch>
                      <a:fillRect/>
                    </a:stretch>
                  </pic:blipFill>
                  <pic:spPr>
                    <a:xfrm>
                      <a:off x="0" y="0"/>
                      <a:ext cx="6518821" cy="1456288"/>
                    </a:xfrm>
                    <a:prstGeom prst="rect">
                      <a:avLst/>
                    </a:prstGeom>
                  </pic:spPr>
                </pic:pic>
              </a:graphicData>
            </a:graphic>
          </wp:inline>
        </w:drawing>
      </w:r>
    </w:p>
    <w:p w14:paraId="12826B6D" w14:textId="18797305" w:rsidR="003D711E" w:rsidRDefault="003D711E" w:rsidP="003D711E">
      <w:pPr>
        <w:jc w:val="center"/>
      </w:pPr>
      <w:r w:rsidRPr="00CF574E">
        <w:rPr>
          <w:b/>
          <w:bCs/>
          <w:sz w:val="18"/>
          <w:szCs w:val="18"/>
        </w:rPr>
        <w:t xml:space="preserve">Figure </w:t>
      </w:r>
      <w:r w:rsidR="001B6D0F">
        <w:rPr>
          <w:b/>
          <w:bCs/>
          <w:sz w:val="18"/>
          <w:szCs w:val="18"/>
        </w:rPr>
        <w:t>9</w:t>
      </w:r>
      <w:r w:rsidRPr="00CF574E">
        <w:rPr>
          <w:b/>
          <w:bCs/>
          <w:sz w:val="18"/>
          <w:szCs w:val="18"/>
        </w:rPr>
        <w:t>.</w:t>
      </w:r>
      <w:r w:rsidRPr="00CF574E">
        <w:rPr>
          <w:sz w:val="18"/>
          <w:szCs w:val="18"/>
        </w:rPr>
        <w:t xml:space="preserve"> </w:t>
      </w:r>
      <w:r>
        <w:rPr>
          <w:sz w:val="18"/>
          <w:szCs w:val="18"/>
        </w:rPr>
        <w:t xml:space="preserve">Bar chart </w:t>
      </w:r>
      <w:r w:rsidR="00FB7A7B">
        <w:rPr>
          <w:sz w:val="18"/>
          <w:szCs w:val="18"/>
        </w:rPr>
        <w:t xml:space="preserve">and list </w:t>
      </w:r>
      <w:r>
        <w:rPr>
          <w:sz w:val="18"/>
          <w:szCs w:val="18"/>
        </w:rPr>
        <w:t>of 20 most important OTUs</w:t>
      </w:r>
      <w:r w:rsidRPr="00CF574E">
        <w:rPr>
          <w:sz w:val="18"/>
          <w:szCs w:val="18"/>
        </w:rPr>
        <w:t xml:space="preserve"> </w:t>
      </w:r>
      <w:r>
        <w:rPr>
          <w:sz w:val="18"/>
          <w:szCs w:val="18"/>
        </w:rPr>
        <w:t>for classifying between antibiotic (kanamycin) and contro</w:t>
      </w:r>
      <w:r w:rsidR="0003266B">
        <w:rPr>
          <w:sz w:val="18"/>
          <w:szCs w:val="18"/>
        </w:rPr>
        <w:t>l</w:t>
      </w:r>
      <w:r>
        <w:rPr>
          <w:sz w:val="18"/>
          <w:szCs w:val="18"/>
        </w:rPr>
        <w:t xml:space="preserve"> treatments</w:t>
      </w:r>
    </w:p>
    <w:p w14:paraId="1EC5130C" w14:textId="41AFFFE3" w:rsidR="00230FA9" w:rsidRPr="00230FA9" w:rsidRDefault="00230FA9" w:rsidP="00230FA9">
      <w:r>
        <w:t>The</w:t>
      </w:r>
      <w:r w:rsidRPr="00230FA9">
        <w:t xml:space="preserve"> </w:t>
      </w:r>
      <w:proofErr w:type="spellStart"/>
      <w:r w:rsidRPr="00AE3D43">
        <w:rPr>
          <w:i/>
          <w:iCs/>
        </w:rPr>
        <w:t>Gracilibacteria</w:t>
      </w:r>
      <w:proofErr w:type="spellEnd"/>
      <w:r w:rsidRPr="00230FA9">
        <w:t xml:space="preserve"> bacterium JGI 0000069-P22</w:t>
      </w:r>
      <w:r>
        <w:t xml:space="preserve"> was the most important </w:t>
      </w:r>
      <w:r w:rsidR="004E0E67">
        <w:t>OTU</w:t>
      </w:r>
      <w:r>
        <w:t xml:space="preserve"> in terms of classifying between our kanamycin and control treatments.</w:t>
      </w:r>
      <w:r w:rsidR="000520F0">
        <w:t xml:space="preserve"> This is followed by </w:t>
      </w:r>
      <w:r w:rsidR="00C27428">
        <w:t xml:space="preserve">some </w:t>
      </w:r>
      <w:r w:rsidR="00C27428">
        <w:rPr>
          <w:i/>
          <w:iCs/>
        </w:rPr>
        <w:t>Firmicutes</w:t>
      </w:r>
      <w:r w:rsidR="00C27428">
        <w:t xml:space="preserve"> and an unclassified bacterium.</w:t>
      </w:r>
      <w:r w:rsidR="004E0E67">
        <w:t xml:space="preserve"> </w:t>
      </w:r>
      <w:r w:rsidR="004E0E67" w:rsidRPr="00230FA9">
        <w:t>JGI 0000069-P22</w:t>
      </w:r>
      <w:r w:rsidR="004E0E67">
        <w:t xml:space="preserve"> is more abundant in kanamycin-treated samples, whereas the </w:t>
      </w:r>
      <w:r w:rsidR="00C27428">
        <w:rPr>
          <w:i/>
          <w:iCs/>
        </w:rPr>
        <w:t>Firmicutes</w:t>
      </w:r>
      <w:r w:rsidR="00C27428">
        <w:t xml:space="preserve"> and unclassified bacterium</w:t>
      </w:r>
      <w:r w:rsidR="004E0E67">
        <w:t xml:space="preserve"> were more abundant in the control samples.</w:t>
      </w:r>
    </w:p>
    <w:p w14:paraId="1C088DA3" w14:textId="09786F4E" w:rsidR="00F2045D" w:rsidRPr="00230FA9" w:rsidRDefault="00F2045D" w:rsidP="00180568"/>
    <w:p w14:paraId="3B8855DB" w14:textId="6F9E03E6" w:rsidR="00403FAF" w:rsidRDefault="00403FAF" w:rsidP="00180568">
      <w:r>
        <w:rPr>
          <w:b/>
          <w:bCs/>
        </w:rPr>
        <w:t>Discussion</w:t>
      </w:r>
    </w:p>
    <w:p w14:paraId="0D80FEF7" w14:textId="6A18EFC7" w:rsidR="00281BCC" w:rsidRDefault="009A7BAA" w:rsidP="00281BCC">
      <w:r>
        <w:t xml:space="preserve">The discovery of such a wide variety of undescribed bacterial taxa is exciting but also presents challenges of its own. We have little knowledge of many of the most critical </w:t>
      </w:r>
      <w:proofErr w:type="spellStart"/>
      <w:r>
        <w:t>genuses</w:t>
      </w:r>
      <w:proofErr w:type="spellEnd"/>
      <w:r>
        <w:t xml:space="preserve"> classifying between the treatment types used in the experiment</w:t>
      </w:r>
      <w:r w:rsidR="007A7300">
        <w:t>; needless to say, it is possible that these unique bacteria are synergists to the cockroach host and might provide niche benefits, especially in terms of xenobiotic detoxification.</w:t>
      </w:r>
      <w:r w:rsidR="00281BCC" w:rsidRPr="00281BCC">
        <w:t xml:space="preserve"> </w:t>
      </w:r>
      <w:r w:rsidR="00EB786C">
        <w:t xml:space="preserve">Since there is very little current research on the gut microbiome of German cockroach, more studies on metabolism and degradation are needed before we can </w:t>
      </w:r>
      <w:r w:rsidR="00DD43BA">
        <w:t>determine</w:t>
      </w:r>
      <w:r w:rsidR="00EB786C">
        <w:t xml:space="preserve"> </w:t>
      </w:r>
      <w:r w:rsidR="00DD43BA">
        <w:t>specific</w:t>
      </w:r>
      <w:r w:rsidR="00EB786C">
        <w:t xml:space="preserve"> relationships these microbes might have with their host</w:t>
      </w:r>
      <w:r w:rsidR="00DD43BA">
        <w:t>,</w:t>
      </w:r>
      <w:r w:rsidR="00EB786C">
        <w:t xml:space="preserve"> or </w:t>
      </w:r>
      <w:r w:rsidR="00DD43BA">
        <w:t xml:space="preserve">perhaps </w:t>
      </w:r>
      <w:r w:rsidR="00EB786C">
        <w:t>each other.</w:t>
      </w:r>
    </w:p>
    <w:p w14:paraId="46D61D67" w14:textId="26ADFB9E" w:rsidR="00795873" w:rsidRDefault="00281BCC" w:rsidP="00795873">
      <w:r>
        <w:rPr>
          <w:i/>
          <w:iCs/>
        </w:rPr>
        <w:lastRenderedPageBreak/>
        <w:t>Diversity</w:t>
      </w:r>
      <w:r>
        <w:t xml:space="preserve">: </w:t>
      </w:r>
      <w:commentRangeStart w:id="7"/>
      <w:r w:rsidR="00795873">
        <w:t xml:space="preserve">Antibiotic treatment had a significant effect on </w:t>
      </w:r>
      <w:r w:rsidR="00194589">
        <w:t>alpha</w:t>
      </w:r>
      <w:r w:rsidR="00795873">
        <w:t xml:space="preserve"> diversity in both </w:t>
      </w:r>
      <w:r w:rsidR="00194589">
        <w:t xml:space="preserve">the </w:t>
      </w:r>
      <w:r w:rsidR="00795873">
        <w:t xml:space="preserve">Danville and J-wax </w:t>
      </w:r>
      <w:r w:rsidR="00194589">
        <w:t>population.</w:t>
      </w:r>
      <w:r w:rsidR="00795873">
        <w:t xml:space="preserve"> </w:t>
      </w:r>
      <w:r w:rsidR="00194589">
        <w:t>T</w:t>
      </w:r>
      <w:r w:rsidR="00795873">
        <w:t xml:space="preserve">he Danville and J-wax cockroach strains </w:t>
      </w:r>
      <w:proofErr w:type="gramStart"/>
      <w:r w:rsidR="00194589">
        <w:t>don’t</w:t>
      </w:r>
      <w:proofErr w:type="gramEnd"/>
      <w:r w:rsidR="00194589">
        <w:t xml:space="preserve"> have significant differences in gut bacterial taxa </w:t>
      </w:r>
      <w:r w:rsidR="00795873">
        <w:t>when treatment is not considered</w:t>
      </w:r>
      <w:r w:rsidR="00194589">
        <w:t>, while</w:t>
      </w:r>
      <w:r w:rsidR="00795873">
        <w:t xml:space="preserve"> combined </w:t>
      </w:r>
      <w:r w:rsidR="00194589">
        <w:t>t</w:t>
      </w:r>
      <w:r w:rsidR="00795873">
        <w:t>reatment</w:t>
      </w:r>
      <w:r w:rsidR="00194589">
        <w:t xml:space="preserve"> and s</w:t>
      </w:r>
      <w:r w:rsidR="00795873">
        <w:t xml:space="preserve">train interaction </w:t>
      </w:r>
      <w:r w:rsidR="00194589">
        <w:t>yielded a significance value of</w:t>
      </w:r>
      <w:r w:rsidR="00795873">
        <w:t xml:space="preserve"> 0.058173 and 0.5006 for Shannon and inverse Simpson’s diversity, respectively.</w:t>
      </w:r>
      <w:r w:rsidR="00194589">
        <w:t xml:space="preserve"> While technically not significant within a 95% confidence interval, the combined effects of treatment and strain were still somewhat indicative of the gut microbiota present in the guts.</w:t>
      </w:r>
      <w:commentRangeEnd w:id="7"/>
      <w:r w:rsidR="00194589">
        <w:rPr>
          <w:rStyle w:val="CommentReference"/>
        </w:rPr>
        <w:commentReference w:id="7"/>
      </w:r>
    </w:p>
    <w:p w14:paraId="5B1C7F9A" w14:textId="1F32D974" w:rsidR="00281BCC" w:rsidRDefault="00750165" w:rsidP="00281BCC">
      <w:r w:rsidRPr="00750165">
        <w:rPr>
          <w:i/>
          <w:iCs/>
        </w:rPr>
        <w:t>Abundance</w:t>
      </w:r>
      <w:r>
        <w:t xml:space="preserve">: </w:t>
      </w:r>
      <w:r w:rsidR="00281BCC">
        <w:t xml:space="preserve">While the presence of </w:t>
      </w:r>
      <w:proofErr w:type="spellStart"/>
      <w:r w:rsidR="00281BCC" w:rsidRPr="00C14FEA">
        <w:rPr>
          <w:i/>
          <w:iCs/>
        </w:rPr>
        <w:t>Dysgonomonas</w:t>
      </w:r>
      <w:proofErr w:type="spellEnd"/>
      <w:r w:rsidR="00281BCC">
        <w:t xml:space="preserve"> and </w:t>
      </w:r>
      <w:proofErr w:type="spellStart"/>
      <w:r w:rsidR="00281BCC">
        <w:rPr>
          <w:i/>
          <w:iCs/>
        </w:rPr>
        <w:t>Alistipes</w:t>
      </w:r>
      <w:proofErr w:type="spellEnd"/>
      <w:r w:rsidR="00281BCC">
        <w:t xml:space="preserve"> spp. were higher in the Danville strain, they are nonetheless present to a reduced extent in the guts of J-wax roaches as well. It is possible that there are further differences between the two strains at the species level. </w:t>
      </w:r>
    </w:p>
    <w:p w14:paraId="50AA62E6" w14:textId="2AFEC0F4" w:rsidR="000460A1" w:rsidRDefault="00750165" w:rsidP="00180568">
      <w:r w:rsidRPr="00750165">
        <w:rPr>
          <w:i/>
          <w:iCs/>
        </w:rPr>
        <w:t>Taxa of interest</w:t>
      </w:r>
      <w:r>
        <w:t xml:space="preserve">: </w:t>
      </w:r>
      <w:r w:rsidR="00281BCC" w:rsidRPr="00917521">
        <w:rPr>
          <w:i/>
          <w:iCs/>
        </w:rPr>
        <w:t>Stenotrophomonas</w:t>
      </w:r>
      <w:r w:rsidR="00281BCC">
        <w:t xml:space="preserve"> spp. are present in every sequence sample to a certain extent, but no more so than in the Danville resistant cockroaches that were fed kanamycin. </w:t>
      </w:r>
      <w:r w:rsidR="000460A1" w:rsidRPr="00917521">
        <w:rPr>
          <w:i/>
          <w:iCs/>
        </w:rPr>
        <w:t>Stenotrophomonas</w:t>
      </w:r>
      <w:r w:rsidR="000460A1">
        <w:t xml:space="preserve"> is a genus known for its ability to detoxify xenobiotics and break down complex organic molecules (</w:t>
      </w:r>
      <w:r w:rsidR="0034719B">
        <w:t xml:space="preserve">Ryan </w:t>
      </w:r>
      <w:r w:rsidR="0034719B">
        <w:rPr>
          <w:i/>
          <w:iCs/>
        </w:rPr>
        <w:t>et al.</w:t>
      </w:r>
      <w:r w:rsidR="0034719B">
        <w:t xml:space="preserve"> 2009</w:t>
      </w:r>
      <w:r w:rsidR="000460A1">
        <w:t xml:space="preserve">), which </w:t>
      </w:r>
      <w:r w:rsidR="0034719B">
        <w:t>might allow</w:t>
      </w:r>
      <w:r w:rsidR="000460A1">
        <w:t xml:space="preserve"> a strain of insecticide resistant German cockroach</w:t>
      </w:r>
      <w:r w:rsidR="0034719B">
        <w:t>es to tolerate higher doses of insecticides</w:t>
      </w:r>
      <w:r w:rsidR="000460A1">
        <w:t xml:space="preserve">. </w:t>
      </w:r>
      <w:r w:rsidR="0034719B">
        <w:t>A</w:t>
      </w:r>
      <w:r w:rsidR="0034719B" w:rsidRPr="0034719B">
        <w:t xml:space="preserve">lso, many </w:t>
      </w:r>
      <w:r w:rsidR="0034719B" w:rsidRPr="0034719B">
        <w:rPr>
          <w:i/>
          <w:iCs/>
        </w:rPr>
        <w:t>Stenotrophomonas</w:t>
      </w:r>
      <w:r w:rsidR="0034719B" w:rsidRPr="0034719B">
        <w:t xml:space="preserve"> spp. have a high level of intrinsic resistance </w:t>
      </w:r>
      <w:r w:rsidR="0034719B">
        <w:t>to</w:t>
      </w:r>
      <w:r w:rsidR="0034719B" w:rsidRPr="0034719B">
        <w:t xml:space="preserve"> antibiotics</w:t>
      </w:r>
      <w:r w:rsidR="0034719B">
        <w:t xml:space="preserve"> (Ryan </w:t>
      </w:r>
      <w:r w:rsidR="0034719B">
        <w:rPr>
          <w:i/>
          <w:iCs/>
        </w:rPr>
        <w:t>et al.</w:t>
      </w:r>
      <w:r w:rsidR="0034719B">
        <w:t xml:space="preserve"> 2009)</w:t>
      </w:r>
      <w:r w:rsidR="0034719B" w:rsidRPr="0034719B">
        <w:t xml:space="preserve"> </w:t>
      </w:r>
      <w:r w:rsidR="0034719B">
        <w:t>which</w:t>
      </w:r>
      <w:r w:rsidR="000460A1">
        <w:t xml:space="preserve"> could also explain why it was able to completely </w:t>
      </w:r>
      <w:commentRangeStart w:id="8"/>
      <w:r w:rsidR="000460A1">
        <w:t xml:space="preserve">overtake </w:t>
      </w:r>
      <w:commentRangeEnd w:id="8"/>
      <w:r w:rsidR="000460A1">
        <w:rPr>
          <w:rStyle w:val="CommentReference"/>
        </w:rPr>
        <w:commentReference w:id="8"/>
      </w:r>
      <w:r w:rsidR="000460A1">
        <w:t xml:space="preserve">the </w:t>
      </w:r>
      <w:r w:rsidR="0034719B">
        <w:t xml:space="preserve">gut </w:t>
      </w:r>
      <w:r w:rsidR="000460A1">
        <w:t xml:space="preserve">microbiome once kanamycin was introduced; kanamycin was less effective at controlling </w:t>
      </w:r>
      <w:r w:rsidR="000460A1" w:rsidRPr="00917521">
        <w:rPr>
          <w:i/>
          <w:iCs/>
        </w:rPr>
        <w:t>Stenotrophomonas</w:t>
      </w:r>
      <w:r w:rsidR="000460A1">
        <w:t xml:space="preserve"> compared to other bacterial </w:t>
      </w:r>
      <w:proofErr w:type="spellStart"/>
      <w:r w:rsidR="000460A1">
        <w:t>genuses</w:t>
      </w:r>
      <w:proofErr w:type="spellEnd"/>
      <w:r w:rsidR="000460A1">
        <w:t xml:space="preserve">. Introducing a disturbance (in this case, an antibiotic) to the microbiome allowed for drastically </w:t>
      </w:r>
      <w:commentRangeStart w:id="9"/>
      <w:r w:rsidR="000460A1">
        <w:t xml:space="preserve">tolerant </w:t>
      </w:r>
      <w:commentRangeEnd w:id="9"/>
      <w:r w:rsidR="000460A1">
        <w:rPr>
          <w:rStyle w:val="CommentReference"/>
        </w:rPr>
        <w:commentReference w:id="9"/>
      </w:r>
      <w:r w:rsidR="000460A1" w:rsidRPr="00917521">
        <w:rPr>
          <w:i/>
          <w:iCs/>
        </w:rPr>
        <w:t>Stenotrophomonas</w:t>
      </w:r>
      <w:r w:rsidR="000460A1">
        <w:t xml:space="preserve"> bacteria to take advantage of resources in the gut without competition from other microorganisms.</w:t>
      </w:r>
      <w:r w:rsidR="00AE3D43">
        <w:t xml:space="preserve"> </w:t>
      </w:r>
    </w:p>
    <w:p w14:paraId="76368DFF" w14:textId="30A5B24F" w:rsidR="00CE3905" w:rsidRDefault="00CE3905" w:rsidP="00281BCC">
      <w:r w:rsidRPr="00CE3905">
        <w:t xml:space="preserve">The family </w:t>
      </w:r>
      <w:proofErr w:type="spellStart"/>
      <w:r w:rsidRPr="00CE3905">
        <w:rPr>
          <w:i/>
          <w:iCs/>
        </w:rPr>
        <w:t>Lachnospiraceae</w:t>
      </w:r>
      <w:proofErr w:type="spellEnd"/>
      <w:r w:rsidRPr="00CE3905">
        <w:t xml:space="preserve"> contains anaerobic bacteria that are usually isolated from the gastrointestinal tract of </w:t>
      </w:r>
      <w:r>
        <w:t xml:space="preserve">animals </w:t>
      </w:r>
      <w:r>
        <w:t>(Cotta and Forster 2006)</w:t>
      </w:r>
      <w:r w:rsidRPr="00CE3905">
        <w:t xml:space="preserve">. These </w:t>
      </w:r>
      <w:r>
        <w:t>bacteria</w:t>
      </w:r>
      <w:r w:rsidRPr="00CE3905">
        <w:t xml:space="preserve"> are motile, curved rods, and usually stain Gram negative or weakly Gram positive</w:t>
      </w:r>
      <w:r>
        <w:t xml:space="preserve"> (Cotta and Forster 2006)</w:t>
      </w:r>
      <w:r w:rsidRPr="00CE3905">
        <w:t>.</w:t>
      </w:r>
      <w:r>
        <w:t xml:space="preserve"> </w:t>
      </w:r>
      <w:r w:rsidRPr="00CE3905">
        <w:t xml:space="preserve">Members of </w:t>
      </w:r>
      <w:proofErr w:type="spellStart"/>
      <w:r w:rsidR="00AE3D43" w:rsidRPr="00CE3905">
        <w:rPr>
          <w:i/>
          <w:iCs/>
        </w:rPr>
        <w:t>Lachnospiraceae</w:t>
      </w:r>
      <w:proofErr w:type="spellEnd"/>
      <w:r w:rsidR="00AE3D43" w:rsidRPr="00CE3905">
        <w:t xml:space="preserve"> </w:t>
      </w:r>
      <w:r w:rsidRPr="00CE3905">
        <w:t>have been linked to obesity and protection from colon cancer in humans, mainly due to the association of many species with the production of butyric acid, a substance that is important for both microbial and host epithelial cell growth</w:t>
      </w:r>
      <w:r>
        <w:t xml:space="preserve"> (Meehan and </w:t>
      </w:r>
      <w:proofErr w:type="spellStart"/>
      <w:r>
        <w:t>Beiko</w:t>
      </w:r>
      <w:proofErr w:type="spellEnd"/>
      <w:r>
        <w:t xml:space="preserve"> 2014)</w:t>
      </w:r>
      <w:r w:rsidRPr="00CE3905">
        <w:t>.</w:t>
      </w:r>
    </w:p>
    <w:p w14:paraId="5FB63B84" w14:textId="5DB82055" w:rsidR="00EA62A5" w:rsidRPr="00EA62A5" w:rsidRDefault="00EA62A5" w:rsidP="00416B3B">
      <w:r>
        <w:rPr>
          <w:i/>
          <w:iCs/>
        </w:rPr>
        <w:t>Firmicutes</w:t>
      </w:r>
      <w:r w:rsidR="000C294D">
        <w:t xml:space="preserve"> was among the phyla most sensitive to kanamycin exposure</w:t>
      </w:r>
      <w:r w:rsidR="00DD4A06">
        <w:t>.</w:t>
      </w:r>
      <w:r w:rsidR="00DD4A06" w:rsidRPr="00DD4A06">
        <w:t xml:space="preserve"> </w:t>
      </w:r>
      <w:r w:rsidR="00DD4A06">
        <w:rPr>
          <w:i/>
          <w:iCs/>
        </w:rPr>
        <w:t>Firmicutes</w:t>
      </w:r>
      <w:r w:rsidR="00DD4A06">
        <w:t xml:space="preserve"> is</w:t>
      </w:r>
      <w:r w:rsidR="00DD4A06">
        <w:t xml:space="preserve"> widely diverse </w:t>
      </w:r>
      <w:r w:rsidR="00DD4A06">
        <w:t>and</w:t>
      </w:r>
      <w:r w:rsidR="00DD4A06">
        <w:t xml:space="preserve"> has been studied in both human and animal</w:t>
      </w:r>
      <w:r w:rsidR="00DD4A06">
        <w:t xml:space="preserve"> gut microbiology, especially in its links to obesity</w:t>
      </w:r>
      <w:r w:rsidR="00DD4A06">
        <w:t xml:space="preserve"> (</w:t>
      </w:r>
      <w:r w:rsidR="00DD4A06">
        <w:t xml:space="preserve">Ley </w:t>
      </w:r>
      <w:r w:rsidR="00DD4A06">
        <w:rPr>
          <w:i/>
          <w:iCs/>
        </w:rPr>
        <w:t>et al.</w:t>
      </w:r>
      <w:r w:rsidR="00DD4A06">
        <w:t xml:space="preserve"> 2006, Guo </w:t>
      </w:r>
      <w:r w:rsidR="00DD4A06">
        <w:rPr>
          <w:i/>
          <w:iCs/>
        </w:rPr>
        <w:t>et al.</w:t>
      </w:r>
      <w:r w:rsidR="00DD4A06">
        <w:t xml:space="preserve"> 2008)</w:t>
      </w:r>
      <w:r w:rsidR="000C294D">
        <w:t>.</w:t>
      </w:r>
      <w:r w:rsidR="00DD4A06">
        <w:t xml:space="preserve"> Many of these firmicutes are in class Clostridia,</w:t>
      </w:r>
      <w:r w:rsidR="00EB26A2">
        <w:t xml:space="preserve"> a </w:t>
      </w:r>
      <w:r w:rsidR="00416B3B">
        <w:t>common digestive tract bacterium</w:t>
      </w:r>
      <w:r w:rsidR="00DD4A06">
        <w:t xml:space="preserve"> consisting of only anaerobes (Wells and Wilkins 1996)</w:t>
      </w:r>
      <w:r w:rsidR="00EB26A2">
        <w:t>.</w:t>
      </w:r>
      <w:r w:rsidR="00DD4A06">
        <w:t xml:space="preserve"> </w:t>
      </w:r>
      <w:r w:rsidR="00416B3B">
        <w:t>Research on the</w:t>
      </w:r>
      <w:r w:rsidR="00DD4A06">
        <w:t xml:space="preserve"> </w:t>
      </w:r>
      <w:r w:rsidR="00416B3B">
        <w:t>Turkestan</w:t>
      </w:r>
      <w:r w:rsidR="00DD4A06">
        <w:t xml:space="preserve"> cockroach </w:t>
      </w:r>
      <w:r w:rsidR="00416B3B">
        <w:t>(</w:t>
      </w:r>
      <w:proofErr w:type="spellStart"/>
      <w:r w:rsidR="00416B3B" w:rsidRPr="00416B3B">
        <w:rPr>
          <w:i/>
          <w:iCs/>
        </w:rPr>
        <w:t>Shelfordella</w:t>
      </w:r>
      <w:proofErr w:type="spellEnd"/>
      <w:r w:rsidR="00416B3B" w:rsidRPr="00416B3B">
        <w:rPr>
          <w:i/>
          <w:iCs/>
        </w:rPr>
        <w:t xml:space="preserve"> lateralis</w:t>
      </w:r>
      <w:r w:rsidR="00416B3B">
        <w:t xml:space="preserve">) suggests that </w:t>
      </w:r>
      <w:r w:rsidR="00416B3B">
        <w:t>both gut tissue and microbiota contribute to</w:t>
      </w:r>
      <w:r w:rsidR="00416B3B">
        <w:t xml:space="preserve"> </w:t>
      </w:r>
      <w:r w:rsidR="00416B3B">
        <w:t>oxygen consumption and suggest that oxygen status</w:t>
      </w:r>
      <w:r w:rsidR="00416B3B">
        <w:t xml:space="preserve"> in the gut</w:t>
      </w:r>
      <w:r w:rsidR="00416B3B">
        <w:t xml:space="preserve"> influences </w:t>
      </w:r>
      <w:r w:rsidR="00416B3B">
        <w:t>microbial</w:t>
      </w:r>
      <w:r w:rsidR="00416B3B">
        <w:t xml:space="preserve"> colonization success</w:t>
      </w:r>
      <w:r w:rsidR="00416B3B">
        <w:t xml:space="preserve"> </w:t>
      </w:r>
      <w:r w:rsidR="00DD4A06">
        <w:t>(</w:t>
      </w:r>
      <w:proofErr w:type="spellStart"/>
      <w:r w:rsidR="00416B3B" w:rsidRPr="00416B3B">
        <w:t>Tegtmeier</w:t>
      </w:r>
      <w:proofErr w:type="spellEnd"/>
      <w:r w:rsidR="00416B3B">
        <w:t xml:space="preserve"> </w:t>
      </w:r>
      <w:r w:rsidR="00416B3B">
        <w:rPr>
          <w:i/>
          <w:iCs/>
        </w:rPr>
        <w:t>et al.</w:t>
      </w:r>
      <w:r w:rsidR="00416B3B">
        <w:t xml:space="preserve"> 2016</w:t>
      </w:r>
      <w:r w:rsidR="00DD4A06">
        <w:t xml:space="preserve">). </w:t>
      </w:r>
    </w:p>
    <w:p w14:paraId="0F030DAA" w14:textId="3BF067B2" w:rsidR="00281BCC" w:rsidRDefault="00281BCC" w:rsidP="00281BCC">
      <w:pPr>
        <w:rPr>
          <w:noProof/>
        </w:rPr>
      </w:pPr>
      <w:proofErr w:type="spellStart"/>
      <w:r w:rsidRPr="00917521">
        <w:rPr>
          <w:i/>
          <w:iCs/>
        </w:rPr>
        <w:t>Blattabacterium</w:t>
      </w:r>
      <w:proofErr w:type="spellEnd"/>
      <w:r>
        <w:t xml:space="preserve"> </w:t>
      </w:r>
      <w:proofErr w:type="spellStart"/>
      <w:r>
        <w:t>spp</w:t>
      </w:r>
      <w:proofErr w:type="spellEnd"/>
      <w:r>
        <w:t xml:space="preserve"> present in these sequences likely came from fat bodies outside of the digestive tract (</w:t>
      </w:r>
      <w:proofErr w:type="spellStart"/>
      <w:r>
        <w:t>Sabree</w:t>
      </w:r>
      <w:proofErr w:type="spellEnd"/>
      <w:r>
        <w:t xml:space="preserve"> </w:t>
      </w:r>
      <w:r>
        <w:rPr>
          <w:i/>
          <w:iCs/>
        </w:rPr>
        <w:t>et al.</w:t>
      </w:r>
      <w:r>
        <w:t xml:space="preserve"> 2009, </w:t>
      </w:r>
      <w:r w:rsidRPr="00092F56">
        <w:t>López-Sánchez</w:t>
      </w:r>
      <w:r>
        <w:t xml:space="preserve"> </w:t>
      </w:r>
      <w:r>
        <w:rPr>
          <w:i/>
          <w:iCs/>
        </w:rPr>
        <w:t>et al.</w:t>
      </w:r>
      <w:r>
        <w:t xml:space="preserve"> 2009) and is a contaminant to our whole gut sample. </w:t>
      </w:r>
      <w:commentRangeStart w:id="10"/>
      <w:r>
        <w:t>However, the fact that orally ingested kanamycin effectively controlled</w:t>
      </w:r>
      <w:r w:rsidRPr="00281BCC">
        <w:rPr>
          <w:i/>
          <w:iCs/>
        </w:rPr>
        <w:t xml:space="preserve"> </w:t>
      </w:r>
      <w:proofErr w:type="spellStart"/>
      <w:r w:rsidRPr="00917521">
        <w:rPr>
          <w:i/>
          <w:iCs/>
        </w:rPr>
        <w:t>Blattabacterium</w:t>
      </w:r>
      <w:proofErr w:type="spellEnd"/>
      <w:r>
        <w:t xml:space="preserve"> symbionts in the fat bodies</w:t>
      </w:r>
      <w:r w:rsidR="002810E1">
        <w:t xml:space="preserve"> of the insecticide resistant Danville strain</w:t>
      </w:r>
      <w:r>
        <w:t xml:space="preserve"> is noteworthy as insecticide researchers </w:t>
      </w:r>
      <w:r w:rsidR="003B1F42">
        <w:t>c</w:t>
      </w:r>
      <w:r>
        <w:t>ould consider host control methods targeted at</w:t>
      </w:r>
      <w:r w:rsidR="00C346F6">
        <w:t xml:space="preserve"> disrupting the symbiosis between</w:t>
      </w:r>
      <w:r>
        <w:t xml:space="preserve"> </w:t>
      </w:r>
      <w:proofErr w:type="spellStart"/>
      <w:r w:rsidRPr="00917521">
        <w:rPr>
          <w:i/>
          <w:iCs/>
        </w:rPr>
        <w:t>Blattabacterium</w:t>
      </w:r>
      <w:proofErr w:type="spellEnd"/>
      <w:r w:rsidR="00C346F6">
        <w:t xml:space="preserve"> and the host cockroach</w:t>
      </w:r>
      <w:r>
        <w:t xml:space="preserve">. </w:t>
      </w:r>
      <w:commentRangeEnd w:id="10"/>
      <w:r>
        <w:rPr>
          <w:rStyle w:val="CommentReference"/>
        </w:rPr>
        <w:commentReference w:id="10"/>
      </w:r>
    </w:p>
    <w:p w14:paraId="1281E478" w14:textId="27205853" w:rsidR="00434CA1" w:rsidRDefault="00750165" w:rsidP="00180568">
      <w:r w:rsidRPr="00750165">
        <w:rPr>
          <w:i/>
          <w:iCs/>
        </w:rPr>
        <w:t xml:space="preserve">Comparison to </w:t>
      </w:r>
      <w:r w:rsidR="004805E4">
        <w:rPr>
          <w:i/>
          <w:iCs/>
        </w:rPr>
        <w:t>previous studies</w:t>
      </w:r>
      <w:r>
        <w:t xml:space="preserve">: </w:t>
      </w:r>
      <w:r w:rsidR="00434CA1" w:rsidRPr="00434CA1">
        <w:t>Ana Elena Pérez-Cobas</w:t>
      </w:r>
      <w:r w:rsidR="00434CA1">
        <w:t xml:space="preserve"> and her colleagues </w:t>
      </w:r>
      <w:proofErr w:type="spellStart"/>
      <w:r w:rsidR="00434CA1" w:rsidRPr="00434CA1">
        <w:t>pyrosequen</w:t>
      </w:r>
      <w:r w:rsidR="00434CA1">
        <w:t>ced</w:t>
      </w:r>
      <w:proofErr w:type="spellEnd"/>
      <w:r w:rsidR="00434CA1" w:rsidRPr="00434CA1">
        <w:t xml:space="preserve"> the hypervariable regions V1–V3 of the 16S rRNA gene of the whole bacterial community</w:t>
      </w:r>
      <w:r w:rsidR="00434CA1">
        <w:t xml:space="preserve"> of German cockroach</w:t>
      </w:r>
      <w:r w:rsidR="00001BD0">
        <w:t xml:space="preserve"> when exposed to different diets</w:t>
      </w:r>
      <w:r w:rsidR="00434CA1">
        <w:t xml:space="preserve"> in 2015.</w:t>
      </w:r>
    </w:p>
    <w:p w14:paraId="10AF8189" w14:textId="5D3A3839" w:rsidR="00FE0CDA" w:rsidRDefault="00434CA1" w:rsidP="00180568">
      <w:r w:rsidRPr="00434CA1">
        <w:lastRenderedPageBreak/>
        <w:drawing>
          <wp:inline distT="0" distB="0" distL="0" distR="0" wp14:anchorId="0E5A4038" wp14:editId="055A49AA">
            <wp:extent cx="4351020" cy="358122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3374" cy="3583161"/>
                    </a:xfrm>
                    <a:prstGeom prst="rect">
                      <a:avLst/>
                    </a:prstGeom>
                  </pic:spPr>
                </pic:pic>
              </a:graphicData>
            </a:graphic>
          </wp:inline>
        </w:drawing>
      </w:r>
    </w:p>
    <w:p w14:paraId="1D8BD460" w14:textId="6614FCC7" w:rsidR="00434CA1" w:rsidRDefault="00434CA1" w:rsidP="00434CA1">
      <w:pPr>
        <w:jc w:val="center"/>
      </w:pPr>
      <w:r w:rsidRPr="00CF574E">
        <w:rPr>
          <w:b/>
          <w:bCs/>
          <w:sz w:val="18"/>
          <w:szCs w:val="18"/>
        </w:rPr>
        <w:t xml:space="preserve">Figure </w:t>
      </w:r>
      <w:r>
        <w:rPr>
          <w:b/>
          <w:bCs/>
          <w:sz w:val="18"/>
          <w:szCs w:val="18"/>
        </w:rPr>
        <w:t>1</w:t>
      </w:r>
      <w:r>
        <w:rPr>
          <w:b/>
          <w:bCs/>
          <w:sz w:val="18"/>
          <w:szCs w:val="18"/>
        </w:rPr>
        <w:t>0</w:t>
      </w:r>
      <w:r w:rsidRPr="00CF574E">
        <w:rPr>
          <w:b/>
          <w:bCs/>
          <w:sz w:val="18"/>
          <w:szCs w:val="18"/>
        </w:rPr>
        <w:t>.</w:t>
      </w:r>
      <w:r w:rsidRPr="00CF574E">
        <w:rPr>
          <w:sz w:val="18"/>
          <w:szCs w:val="18"/>
        </w:rPr>
        <w:t xml:space="preserve"> </w:t>
      </w:r>
      <w:r w:rsidRPr="00434CA1">
        <w:rPr>
          <w:sz w:val="18"/>
          <w:szCs w:val="18"/>
        </w:rPr>
        <w:t xml:space="preserve">Pérez-Cobas </w:t>
      </w:r>
      <w:r>
        <w:rPr>
          <w:i/>
          <w:iCs/>
          <w:sz w:val="18"/>
          <w:szCs w:val="18"/>
        </w:rPr>
        <w:t>et al.</w:t>
      </w:r>
      <w:r>
        <w:rPr>
          <w:sz w:val="18"/>
          <w:szCs w:val="18"/>
        </w:rPr>
        <w:t xml:space="preserve"> 201</w:t>
      </w:r>
      <w:r>
        <w:rPr>
          <w:sz w:val="18"/>
          <w:szCs w:val="18"/>
        </w:rPr>
        <w:t>5</w:t>
      </w:r>
      <w:r>
        <w:rPr>
          <w:sz w:val="18"/>
          <w:szCs w:val="18"/>
        </w:rPr>
        <w:t xml:space="preserve"> </w:t>
      </w:r>
      <w:proofErr w:type="spellStart"/>
      <w:r>
        <w:rPr>
          <w:sz w:val="18"/>
          <w:szCs w:val="18"/>
        </w:rPr>
        <w:t>pyrosequence</w:t>
      </w:r>
      <w:proofErr w:type="spellEnd"/>
      <w:r>
        <w:rPr>
          <w:sz w:val="18"/>
          <w:szCs w:val="18"/>
        </w:rPr>
        <w:t xml:space="preserve"> results:</w:t>
      </w:r>
      <w:r w:rsidRPr="00434CA1">
        <w:t xml:space="preserve"> </w:t>
      </w:r>
      <w:r w:rsidRPr="00434CA1">
        <w:rPr>
          <w:sz w:val="18"/>
          <w:szCs w:val="18"/>
        </w:rPr>
        <w:t>Three diets differing in the protein content (0, 24 and 50%</w:t>
      </w:r>
      <w:r>
        <w:rPr>
          <w:sz w:val="18"/>
          <w:szCs w:val="18"/>
        </w:rPr>
        <w:t>; NP (no protein), CD (control diet), HP (high protein)</w:t>
      </w:r>
      <w:r w:rsidRPr="00434CA1">
        <w:rPr>
          <w:sz w:val="18"/>
          <w:szCs w:val="18"/>
        </w:rPr>
        <w:t>) were tested at two time points in lab-reared individuals. In addition, the gut microbiota of wild adult cockroaches was also analyzed.</w:t>
      </w:r>
    </w:p>
    <w:p w14:paraId="15EF0E44" w14:textId="2712A0CC" w:rsidR="00281BCC" w:rsidRDefault="00616FCC" w:rsidP="00180568">
      <w:r>
        <w:t xml:space="preserve">Jose Pietri </w:t>
      </w:r>
      <w:r>
        <w:rPr>
          <w:i/>
          <w:iCs/>
        </w:rPr>
        <w:t>et al.</w:t>
      </w:r>
      <w:r>
        <w:t xml:space="preserve"> published a manuscript in 2018 in which w</w:t>
      </w:r>
      <w:r w:rsidRPr="00616FCC">
        <w:t xml:space="preserve">hole guts from untreated </w:t>
      </w:r>
      <w:r>
        <w:t xml:space="preserve">German </w:t>
      </w:r>
      <w:r w:rsidRPr="00616FCC">
        <w:t>cockroaches, or cockroaches continuously exposed to 0.5% doxycycline</w:t>
      </w:r>
      <w:r>
        <w:t xml:space="preserve"> (another antibiotic)</w:t>
      </w:r>
      <w:r w:rsidRPr="00616FCC">
        <w:t xml:space="preserve"> for 4 days were dissected and DNA was isolated sequencing of bacterial 16S rRNA genes.</w:t>
      </w:r>
    </w:p>
    <w:p w14:paraId="13362E20" w14:textId="554A7340" w:rsidR="00616FCC" w:rsidRDefault="00616FCC" w:rsidP="00180568">
      <w:commentRangeStart w:id="11"/>
      <w:r w:rsidRPr="00616FCC">
        <w:drawing>
          <wp:inline distT="0" distB="0" distL="0" distR="0" wp14:anchorId="56BCD971" wp14:editId="0F48F6AE">
            <wp:extent cx="5836920" cy="306064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2207" cy="3063414"/>
                    </a:xfrm>
                    <a:prstGeom prst="rect">
                      <a:avLst/>
                    </a:prstGeom>
                  </pic:spPr>
                </pic:pic>
              </a:graphicData>
            </a:graphic>
          </wp:inline>
        </w:drawing>
      </w:r>
      <w:commentRangeEnd w:id="11"/>
      <w:r>
        <w:rPr>
          <w:rStyle w:val="CommentReference"/>
        </w:rPr>
        <w:commentReference w:id="11"/>
      </w:r>
    </w:p>
    <w:p w14:paraId="043B864E" w14:textId="59F5DAE9" w:rsidR="00616FCC" w:rsidRPr="00616FCC" w:rsidRDefault="00616FCC" w:rsidP="00616FCC">
      <w:pPr>
        <w:jc w:val="center"/>
      </w:pPr>
      <w:r w:rsidRPr="00CF574E">
        <w:rPr>
          <w:b/>
          <w:bCs/>
          <w:sz w:val="18"/>
          <w:szCs w:val="18"/>
        </w:rPr>
        <w:lastRenderedPageBreak/>
        <w:t xml:space="preserve">Figure </w:t>
      </w:r>
      <w:r>
        <w:rPr>
          <w:b/>
          <w:bCs/>
          <w:sz w:val="18"/>
          <w:szCs w:val="18"/>
        </w:rPr>
        <w:t>1</w:t>
      </w:r>
      <w:r w:rsidR="00434CA1">
        <w:rPr>
          <w:b/>
          <w:bCs/>
          <w:sz w:val="18"/>
          <w:szCs w:val="18"/>
        </w:rPr>
        <w:t>1</w:t>
      </w:r>
      <w:r w:rsidRPr="00CF574E">
        <w:rPr>
          <w:b/>
          <w:bCs/>
          <w:sz w:val="18"/>
          <w:szCs w:val="18"/>
        </w:rPr>
        <w:t>.</w:t>
      </w:r>
      <w:r w:rsidRPr="00CF574E">
        <w:rPr>
          <w:sz w:val="18"/>
          <w:szCs w:val="18"/>
        </w:rPr>
        <w:t xml:space="preserve"> </w:t>
      </w:r>
      <w:r>
        <w:rPr>
          <w:sz w:val="18"/>
          <w:szCs w:val="18"/>
        </w:rPr>
        <w:t xml:space="preserve">Pietri </w:t>
      </w:r>
      <w:r>
        <w:rPr>
          <w:i/>
          <w:iCs/>
          <w:sz w:val="18"/>
          <w:szCs w:val="18"/>
        </w:rPr>
        <w:t>et al.</w:t>
      </w:r>
      <w:r>
        <w:rPr>
          <w:sz w:val="18"/>
          <w:szCs w:val="18"/>
        </w:rPr>
        <w:t xml:space="preserve"> 2018 demonstrating that gut microbiota differs between insecticide</w:t>
      </w:r>
      <w:r w:rsidR="007C370A">
        <w:rPr>
          <w:sz w:val="18"/>
          <w:szCs w:val="18"/>
        </w:rPr>
        <w:t>-</w:t>
      </w:r>
      <w:r>
        <w:rPr>
          <w:sz w:val="18"/>
          <w:szCs w:val="18"/>
        </w:rPr>
        <w:t>resistant (DE, DEA), antibiotic-treated (</w:t>
      </w:r>
      <w:proofErr w:type="spellStart"/>
      <w:r>
        <w:rPr>
          <w:sz w:val="18"/>
          <w:szCs w:val="18"/>
        </w:rPr>
        <w:t>DEA_Ab</w:t>
      </w:r>
      <w:proofErr w:type="spellEnd"/>
      <w:r>
        <w:rPr>
          <w:sz w:val="18"/>
          <w:szCs w:val="18"/>
        </w:rPr>
        <w:t>) and</w:t>
      </w:r>
      <w:r w:rsidR="007C370A">
        <w:rPr>
          <w:sz w:val="18"/>
          <w:szCs w:val="18"/>
        </w:rPr>
        <w:t xml:space="preserve"> insecticide-</w:t>
      </w:r>
      <w:r>
        <w:rPr>
          <w:sz w:val="18"/>
          <w:szCs w:val="18"/>
        </w:rPr>
        <w:t>susceptible (ORL) German cockroaches.</w:t>
      </w:r>
    </w:p>
    <w:p w14:paraId="3045F1F4" w14:textId="77777777" w:rsidR="007905B4" w:rsidRDefault="007905B4" w:rsidP="00180568"/>
    <w:p w14:paraId="1742E422" w14:textId="628E8C6C" w:rsidR="007905B4" w:rsidRDefault="007905B4" w:rsidP="00180568">
      <w:r w:rsidRPr="007905B4">
        <w:t xml:space="preserve">Madhavi </w:t>
      </w:r>
      <w:proofErr w:type="spellStart"/>
      <w:r w:rsidRPr="007905B4">
        <w:t>Kakumanu</w:t>
      </w:r>
      <w:proofErr w:type="spellEnd"/>
      <w:r>
        <w:t xml:space="preserve"> and colleagues of Coby </w:t>
      </w:r>
      <w:proofErr w:type="spellStart"/>
      <w:r>
        <w:t>Schal</w:t>
      </w:r>
      <w:proofErr w:type="spellEnd"/>
      <w:r>
        <w:t xml:space="preserve"> at North Carolina State University also sequenced the </w:t>
      </w:r>
      <w:r w:rsidR="00FE0CDA">
        <w:t xml:space="preserve">whole body, </w:t>
      </w:r>
      <w:r>
        <w:t xml:space="preserve">whole </w:t>
      </w:r>
      <w:proofErr w:type="gramStart"/>
      <w:r>
        <w:t>guts</w:t>
      </w:r>
      <w:proofErr w:type="gramEnd"/>
      <w:r>
        <w:t xml:space="preserve"> and feces of German cockroaches in 2018.</w:t>
      </w:r>
    </w:p>
    <w:p w14:paraId="2BCB1EE6" w14:textId="4196A7F3" w:rsidR="007905B4" w:rsidRDefault="007905B4" w:rsidP="00180568">
      <w:r w:rsidRPr="007905B4">
        <w:drawing>
          <wp:inline distT="0" distB="0" distL="0" distR="0" wp14:anchorId="051DB53A" wp14:editId="04370230">
            <wp:extent cx="2941320" cy="355660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7009" cy="3563487"/>
                    </a:xfrm>
                    <a:prstGeom prst="rect">
                      <a:avLst/>
                    </a:prstGeom>
                  </pic:spPr>
                </pic:pic>
              </a:graphicData>
            </a:graphic>
          </wp:inline>
        </w:drawing>
      </w:r>
      <w:r w:rsidR="00FE0CDA" w:rsidRPr="00FE0CDA">
        <w:rPr>
          <w:noProof/>
        </w:rPr>
        <w:t xml:space="preserve"> </w:t>
      </w:r>
    </w:p>
    <w:p w14:paraId="4E904CD1" w14:textId="5EFE6886" w:rsidR="007905B4" w:rsidRDefault="007905B4" w:rsidP="002730D5">
      <w:pPr>
        <w:jc w:val="center"/>
      </w:pPr>
      <w:bookmarkStart w:id="12" w:name="_Hlk38827052"/>
      <w:r w:rsidRPr="00CF574E">
        <w:rPr>
          <w:b/>
          <w:bCs/>
          <w:sz w:val="18"/>
          <w:szCs w:val="18"/>
        </w:rPr>
        <w:t xml:space="preserve">Figure </w:t>
      </w:r>
      <w:r>
        <w:rPr>
          <w:b/>
          <w:bCs/>
          <w:sz w:val="18"/>
          <w:szCs w:val="18"/>
        </w:rPr>
        <w:t>1</w:t>
      </w:r>
      <w:r w:rsidR="00434CA1">
        <w:rPr>
          <w:b/>
          <w:bCs/>
          <w:sz w:val="18"/>
          <w:szCs w:val="18"/>
        </w:rPr>
        <w:t>2</w:t>
      </w:r>
      <w:r w:rsidRPr="00CF574E">
        <w:rPr>
          <w:b/>
          <w:bCs/>
          <w:sz w:val="18"/>
          <w:szCs w:val="18"/>
        </w:rPr>
        <w:t>.</w:t>
      </w:r>
      <w:r w:rsidRPr="00CF574E">
        <w:rPr>
          <w:sz w:val="18"/>
          <w:szCs w:val="18"/>
        </w:rPr>
        <w:t xml:space="preserve"> </w:t>
      </w:r>
      <w:proofErr w:type="spellStart"/>
      <w:r>
        <w:rPr>
          <w:sz w:val="18"/>
          <w:szCs w:val="18"/>
        </w:rPr>
        <w:t>Kakumanu</w:t>
      </w:r>
      <w:proofErr w:type="spellEnd"/>
      <w:r>
        <w:rPr>
          <w:sz w:val="18"/>
          <w:szCs w:val="18"/>
        </w:rPr>
        <w:t xml:space="preserve"> </w:t>
      </w:r>
      <w:r>
        <w:rPr>
          <w:i/>
          <w:iCs/>
          <w:sz w:val="18"/>
          <w:szCs w:val="18"/>
        </w:rPr>
        <w:t>et al.</w:t>
      </w:r>
      <w:r>
        <w:rPr>
          <w:sz w:val="18"/>
          <w:szCs w:val="18"/>
        </w:rPr>
        <w:t xml:space="preserve"> 2018 demonstrating that gut microbiota differs between lab-raised and field collected German cockroaches.</w:t>
      </w:r>
    </w:p>
    <w:bookmarkEnd w:id="12"/>
    <w:p w14:paraId="243444AE" w14:textId="302D8238" w:rsidR="00616FCC" w:rsidRDefault="00616FCC" w:rsidP="00180568">
      <w:r>
        <w:t>This research corroborates that the oral administration of an antibiotic effectively reduces species diversity</w:t>
      </w:r>
      <w:r w:rsidR="00983FE4">
        <w:t xml:space="preserve"> in German cockroach. Additionally, these researchers found that</w:t>
      </w:r>
      <w:r w:rsidR="00983FE4" w:rsidRPr="00983FE4">
        <w:t xml:space="preserve"> relative abundances of </w:t>
      </w:r>
      <w:r w:rsidR="00983FE4">
        <w:t>bacterial</w:t>
      </w:r>
      <w:r w:rsidR="00983FE4" w:rsidRPr="00983FE4">
        <w:t xml:space="preserve"> taxa in the gut</w:t>
      </w:r>
      <w:r w:rsidR="00983FE4">
        <w:t xml:space="preserve"> </w:t>
      </w:r>
      <w:r w:rsidR="00983FE4" w:rsidRPr="00983FE4">
        <w:t xml:space="preserve">can vary drastically </w:t>
      </w:r>
      <w:r w:rsidR="00983FE4">
        <w:t>from individual to individual</w:t>
      </w:r>
      <w:r w:rsidR="00983FE4" w:rsidRPr="00983FE4">
        <w:t>,</w:t>
      </w:r>
      <w:r w:rsidR="00FE0CDA">
        <w:t xml:space="preserve"> location to location,</w:t>
      </w:r>
      <w:r w:rsidR="00983FE4" w:rsidRPr="00983FE4">
        <w:t xml:space="preserve"> and even among individuals in a laboratory environment kept under different dietary regimes</w:t>
      </w:r>
      <w:r w:rsidR="00983FE4">
        <w:t xml:space="preserve"> (</w:t>
      </w:r>
      <w:r w:rsidR="00983FE4" w:rsidRPr="00983FE4">
        <w:t>Pérez-Cobas</w:t>
      </w:r>
      <w:r w:rsidR="00D65A0F">
        <w:t xml:space="preserve"> </w:t>
      </w:r>
      <w:r w:rsidR="00D65A0F">
        <w:rPr>
          <w:i/>
          <w:iCs/>
        </w:rPr>
        <w:t>et al.</w:t>
      </w:r>
      <w:r w:rsidR="00D65A0F">
        <w:t xml:space="preserve"> 2015</w:t>
      </w:r>
      <w:r w:rsidR="00983FE4" w:rsidRPr="00983FE4">
        <w:t>,</w:t>
      </w:r>
      <w:r w:rsidR="00D65A0F">
        <w:t xml:space="preserve"> </w:t>
      </w:r>
      <w:proofErr w:type="spellStart"/>
      <w:r w:rsidR="00D65A0F">
        <w:t>Kakumanu</w:t>
      </w:r>
      <w:proofErr w:type="spellEnd"/>
      <w:r w:rsidR="00D65A0F">
        <w:t xml:space="preserve"> </w:t>
      </w:r>
      <w:r w:rsidR="00D65A0F">
        <w:rPr>
          <w:i/>
          <w:iCs/>
        </w:rPr>
        <w:t>et al.</w:t>
      </w:r>
      <w:r w:rsidR="00D65A0F">
        <w:t xml:space="preserve"> 2018, </w:t>
      </w:r>
      <w:r w:rsidR="00983FE4">
        <w:t xml:space="preserve">Pietri </w:t>
      </w:r>
      <w:r w:rsidR="00983FE4">
        <w:rPr>
          <w:i/>
          <w:iCs/>
        </w:rPr>
        <w:t>et al.</w:t>
      </w:r>
      <w:r w:rsidR="00983FE4">
        <w:t xml:space="preserve"> 2018).</w:t>
      </w:r>
      <w:r>
        <w:t xml:space="preserve"> </w:t>
      </w:r>
      <w:r w:rsidR="00361BA7">
        <w:t xml:space="preserve">We used the same primers to amplify the V4 region as </w:t>
      </w:r>
      <w:proofErr w:type="spellStart"/>
      <w:r w:rsidR="00361BA7">
        <w:t>Kakumanu</w:t>
      </w:r>
      <w:proofErr w:type="spellEnd"/>
      <w:r w:rsidR="00361BA7">
        <w:t xml:space="preserve"> </w:t>
      </w:r>
      <w:r w:rsidR="00361BA7">
        <w:rPr>
          <w:i/>
          <w:iCs/>
        </w:rPr>
        <w:t>et al.</w:t>
      </w:r>
      <w:r w:rsidR="00361BA7">
        <w:t xml:space="preserve"> </w:t>
      </w:r>
      <w:r w:rsidR="00361BA7">
        <w:t>and observed some of the same families in both of our sequences. While previous literature</w:t>
      </w:r>
      <w:r>
        <w:t xml:space="preserve"> </w:t>
      </w:r>
      <w:r w:rsidR="00361BA7">
        <w:t xml:space="preserve">supports many of our observations, it </w:t>
      </w:r>
      <w:r>
        <w:t xml:space="preserve">varies with our current findings </w:t>
      </w:r>
      <w:r w:rsidR="007C370A">
        <w:t xml:space="preserve">in many other ways. For instance, </w:t>
      </w:r>
      <w:r w:rsidR="00361BA7" w:rsidRPr="00983FE4">
        <w:t>Pérez-Cobas</w:t>
      </w:r>
      <w:r w:rsidR="00361BA7">
        <w:t xml:space="preserve"> </w:t>
      </w:r>
      <w:r w:rsidR="00361BA7">
        <w:rPr>
          <w:i/>
          <w:iCs/>
        </w:rPr>
        <w:t>et al.</w:t>
      </w:r>
      <w:r w:rsidR="00361BA7">
        <w:t xml:space="preserve"> used pyrosequencing to sequence the V1-V3 region</w:t>
      </w:r>
      <w:r w:rsidR="00D20379">
        <w:t xml:space="preserve"> instead of </w:t>
      </w:r>
      <w:proofErr w:type="spellStart"/>
      <w:r w:rsidR="00D20379">
        <w:t>MiSeq</w:t>
      </w:r>
      <w:proofErr w:type="spellEnd"/>
      <w:r w:rsidR="00D20379">
        <w:t xml:space="preserve"> to sequence the V4 region</w:t>
      </w:r>
      <w:r w:rsidR="00361BA7">
        <w:t>, as Illumina’s platforms were not as popular during the time of publication. Additionally,</w:t>
      </w:r>
      <w:r w:rsidR="00B9735C">
        <w:t xml:space="preserve"> a different antibiotic was used (doxycycline) and</w:t>
      </w:r>
      <w:r w:rsidR="00361BA7">
        <w:t xml:space="preserve"> </w:t>
      </w:r>
      <w:commentRangeStart w:id="13"/>
      <w:r w:rsidR="007C370A">
        <w:t>the bacterial taxa sequenced differ</w:t>
      </w:r>
      <w:commentRangeEnd w:id="13"/>
      <w:r w:rsidR="00983FE4">
        <w:rPr>
          <w:rStyle w:val="CommentReference"/>
        </w:rPr>
        <w:commentReference w:id="13"/>
      </w:r>
      <w:r w:rsidR="007C370A">
        <w:t xml:space="preserve"> when comparing </w:t>
      </w:r>
      <w:proofErr w:type="spellStart"/>
      <w:r w:rsidR="007C370A">
        <w:t>Pietri’s</w:t>
      </w:r>
      <w:proofErr w:type="spellEnd"/>
      <w:r w:rsidR="007C370A">
        <w:t xml:space="preserve"> DE (Destin, FL – Resistant) and ORL (Orlando, FL – Susceptible) to our Dan (Danville, IL – Resistant) and J-wax (Susceptible)</w:t>
      </w:r>
      <w:r w:rsidR="00361BA7" w:rsidRPr="00361BA7">
        <w:t xml:space="preserve"> </w:t>
      </w:r>
      <w:r w:rsidR="00B9735C">
        <w:t>strains.</w:t>
      </w:r>
      <w:r w:rsidR="00361BA7">
        <w:t xml:space="preserve"> </w:t>
      </w:r>
      <w:r w:rsidR="00B14107">
        <w:t>Unfortunately,</w:t>
      </w:r>
      <w:r w:rsidR="00361BA7">
        <w:t xml:space="preserve"> </w:t>
      </w:r>
      <w:r w:rsidR="00B9735C">
        <w:t>t</w:t>
      </w:r>
      <w:r w:rsidR="00361BA7">
        <w:t>here is</w:t>
      </w:r>
      <w:r w:rsidR="00B9735C">
        <w:t xml:space="preserve"> also</w:t>
      </w:r>
      <w:r w:rsidR="00361BA7">
        <w:t xml:space="preserve"> no information on how gut microbiota shift once the ORL – Susceptible cockroaches have been fed antibiotics</w:t>
      </w:r>
      <w:r w:rsidR="00361BA7">
        <w:t>.</w:t>
      </w:r>
      <w:r w:rsidR="00983FE4">
        <w:t xml:space="preserve"> However,</w:t>
      </w:r>
      <w:r w:rsidR="00361BA7">
        <w:t xml:space="preserve"> the </w:t>
      </w:r>
      <w:r w:rsidR="00CE3905">
        <w:t xml:space="preserve">largest </w:t>
      </w:r>
      <w:r w:rsidR="00361BA7">
        <w:t>limitation of our current research is that</w:t>
      </w:r>
      <w:r w:rsidR="00983FE4">
        <w:t xml:space="preserve"> many of </w:t>
      </w:r>
      <w:r w:rsidR="00142804">
        <w:t>our</w:t>
      </w:r>
      <w:r w:rsidR="00983FE4">
        <w:t xml:space="preserve"> reads yielded undescribed species, </w:t>
      </w:r>
      <w:r w:rsidR="00361BA7">
        <w:t>which reduces our ability to compare our research with past studies and sequences.</w:t>
      </w:r>
    </w:p>
    <w:p w14:paraId="5E14FEDE" w14:textId="77777777" w:rsidR="001960A3" w:rsidRPr="00616FCC" w:rsidRDefault="001960A3" w:rsidP="00180568"/>
    <w:p w14:paraId="714567D1" w14:textId="69380AC8" w:rsidR="00403FAF" w:rsidRDefault="00403FAF" w:rsidP="00180568">
      <w:r>
        <w:rPr>
          <w:b/>
          <w:bCs/>
        </w:rPr>
        <w:t>Conclusion</w:t>
      </w:r>
      <w:r w:rsidR="002D0807">
        <w:rPr>
          <w:b/>
          <w:bCs/>
        </w:rPr>
        <w:t>s</w:t>
      </w:r>
      <w:r w:rsidR="000B3211">
        <w:t xml:space="preserve"> </w:t>
      </w:r>
    </w:p>
    <w:p w14:paraId="20671E06" w14:textId="6676D388" w:rsidR="000B3211" w:rsidRPr="000B3211" w:rsidRDefault="00890087" w:rsidP="00180568">
      <w:r w:rsidRPr="00917521">
        <w:rPr>
          <w:i/>
          <w:iCs/>
        </w:rPr>
        <w:t>Stenotrophomonas</w:t>
      </w:r>
      <w:r>
        <w:t xml:space="preserve"> spp</w:t>
      </w:r>
      <w:r>
        <w:t xml:space="preserve">. </w:t>
      </w:r>
      <w:r w:rsidR="001223F3">
        <w:t>can colonize</w:t>
      </w:r>
      <w:r>
        <w:t xml:space="preserve"> a </w:t>
      </w:r>
      <w:r w:rsidR="001223F3">
        <w:t xml:space="preserve">gut </w:t>
      </w:r>
      <w:r>
        <w:t>microbiome with limited other symbionts</w:t>
      </w:r>
      <w:r w:rsidR="008F4FF9">
        <w:t xml:space="preserve"> in the presence of kanamycin</w:t>
      </w:r>
      <w:r>
        <w:t>.</w:t>
      </w:r>
      <w:r w:rsidR="008F4FF9">
        <w:t xml:space="preserve"> The mechanisms of </w:t>
      </w:r>
      <w:commentRangeStart w:id="14"/>
      <w:r w:rsidR="008F4FF9">
        <w:t xml:space="preserve">antibiotic resistance, </w:t>
      </w:r>
      <w:commentRangeEnd w:id="14"/>
      <w:r w:rsidR="001223F3">
        <w:rPr>
          <w:rStyle w:val="CommentReference"/>
        </w:rPr>
        <w:commentReference w:id="14"/>
      </w:r>
      <w:r w:rsidR="008F4FF9">
        <w:t>as well as potential insecticide degradation and metabolism should be investigated further in this genus.</w:t>
      </w:r>
      <w:r w:rsidR="00BB2864">
        <w:t xml:space="preserve"> The</w:t>
      </w:r>
      <w:r w:rsidR="001223F3">
        <w:t xml:space="preserve"> gut</w:t>
      </w:r>
      <w:r w:rsidR="00BB2864">
        <w:t xml:space="preserve"> microbiomes of Danville-R and J-wax-S German cockroaches are not significantly different</w:t>
      </w:r>
      <w:r w:rsidR="001223F3">
        <w:t xml:space="preserve"> on their own, but the introduction of orally ingested kanamycin eliminates certain taxa while increasing the concentration of others. More research is needed to determine the phylogenetic classifications of undescribed species discovered in the sequence, as well as their functions, structures, and relationships to the German cockroach host</w:t>
      </w:r>
      <w:r w:rsidR="000F20A1">
        <w:t>.</w:t>
      </w:r>
    </w:p>
    <w:p w14:paraId="474111BC" w14:textId="77777777" w:rsidR="0089451D" w:rsidRDefault="0089451D" w:rsidP="00180568">
      <w:pPr>
        <w:rPr>
          <w:b/>
          <w:bCs/>
        </w:rPr>
      </w:pPr>
    </w:p>
    <w:p w14:paraId="442E4D04" w14:textId="24074DD1" w:rsidR="000B3211" w:rsidRPr="000B3211" w:rsidRDefault="000B3211" w:rsidP="00180568">
      <w:pPr>
        <w:rPr>
          <w:b/>
          <w:bCs/>
        </w:rPr>
      </w:pPr>
      <w:r>
        <w:rPr>
          <w:b/>
          <w:bCs/>
        </w:rPr>
        <w:t>References</w:t>
      </w:r>
    </w:p>
    <w:p w14:paraId="6A7FD58D" w14:textId="4530734A" w:rsidR="001526C2" w:rsidRDefault="001526C2" w:rsidP="00092F56">
      <w:pPr>
        <w:ind w:left="720" w:hanging="720"/>
      </w:pPr>
      <w:proofErr w:type="spellStart"/>
      <w:r w:rsidRPr="001526C2">
        <w:t>Boush</w:t>
      </w:r>
      <w:proofErr w:type="spellEnd"/>
      <w:r w:rsidRPr="001526C2">
        <w:t xml:space="preserve">, M. G., &amp; Matsumura, F. (1967). Insecticidal degradation by Pseudomonas </w:t>
      </w:r>
      <w:proofErr w:type="spellStart"/>
      <w:r w:rsidRPr="001526C2">
        <w:t>melophthora</w:t>
      </w:r>
      <w:proofErr w:type="spellEnd"/>
      <w:r w:rsidRPr="001526C2">
        <w:t>, the bacterial symbiote of the apple maggot. Journal of Economic Entomology, 60(4), 918-920.</w:t>
      </w:r>
    </w:p>
    <w:p w14:paraId="4E382984" w14:textId="0EC7BC52" w:rsidR="001526C2" w:rsidRDefault="001526C2" w:rsidP="00092F56">
      <w:pPr>
        <w:ind w:left="720" w:hanging="720"/>
      </w:pPr>
      <w:r w:rsidRPr="001526C2">
        <w:t xml:space="preserve">Ceja-Navarro, J. A., Vega, F. E., </w:t>
      </w:r>
      <w:proofErr w:type="spellStart"/>
      <w:r w:rsidRPr="001526C2">
        <w:t>Karaoz</w:t>
      </w:r>
      <w:proofErr w:type="spellEnd"/>
      <w:r w:rsidRPr="001526C2">
        <w:t>, U., Hao, Z., Jenkins, S., Lim, H. C., ... &amp; Brodie, E. L. (2015). Gut microbiota mediate caffeine detoxification in the primary insect pest of coffee. Nature communications, 6, 7618.</w:t>
      </w:r>
    </w:p>
    <w:p w14:paraId="18C2804E" w14:textId="3B511356" w:rsidR="00CE3905" w:rsidRDefault="00CE3905" w:rsidP="00092F56">
      <w:pPr>
        <w:ind w:left="720" w:hanging="720"/>
      </w:pPr>
      <w:r w:rsidRPr="00CE3905">
        <w:t xml:space="preserve">Cotta, M., &amp; Forster, R. (2006). The family </w:t>
      </w:r>
      <w:proofErr w:type="spellStart"/>
      <w:r w:rsidRPr="00CE3905">
        <w:t>Lachnospiraceae</w:t>
      </w:r>
      <w:proofErr w:type="spellEnd"/>
      <w:r w:rsidRPr="00CE3905">
        <w:t xml:space="preserve">, including the genera </w:t>
      </w:r>
      <w:proofErr w:type="spellStart"/>
      <w:r w:rsidRPr="00CE3905">
        <w:t>Butyrivibrio</w:t>
      </w:r>
      <w:proofErr w:type="spellEnd"/>
      <w:r w:rsidRPr="00CE3905">
        <w:t xml:space="preserve">, </w:t>
      </w:r>
      <w:proofErr w:type="spellStart"/>
      <w:r w:rsidRPr="00CE3905">
        <w:t>Lachnospira</w:t>
      </w:r>
      <w:proofErr w:type="spellEnd"/>
      <w:r w:rsidRPr="00CE3905">
        <w:t xml:space="preserve"> and </w:t>
      </w:r>
      <w:proofErr w:type="spellStart"/>
      <w:r w:rsidRPr="00CE3905">
        <w:t>Roseburia</w:t>
      </w:r>
      <w:proofErr w:type="spellEnd"/>
      <w:r w:rsidRPr="00CE3905">
        <w:t>. </w:t>
      </w:r>
      <w:r w:rsidRPr="00CE3905">
        <w:rPr>
          <w:i/>
          <w:iCs/>
        </w:rPr>
        <w:t>The prokaryotes: a handbook on the biology of bacteria: Bacteria: Firmicutes, Cyanobacteria</w:t>
      </w:r>
      <w:r w:rsidRPr="00CE3905">
        <w:t>.</w:t>
      </w:r>
    </w:p>
    <w:p w14:paraId="1F90478C" w14:textId="7AEAB22E" w:rsidR="00070CA7" w:rsidRDefault="00070CA7" w:rsidP="00092F56">
      <w:pPr>
        <w:ind w:left="720" w:hanging="720"/>
      </w:pPr>
      <w:r w:rsidRPr="00070CA7">
        <w:t xml:space="preserve">Cui, Y., Chun, S. J., </w:t>
      </w:r>
      <w:proofErr w:type="spellStart"/>
      <w:r w:rsidRPr="00070CA7">
        <w:t>Baek</w:t>
      </w:r>
      <w:proofErr w:type="spellEnd"/>
      <w:r w:rsidRPr="00070CA7">
        <w:t>, S. H., Lee, M., Kim, Y., Lee, H. G., ... &amp; Oh, H. M. (2019). The water depth-dependent co-occurrence patterns of marine bacteria in shallow and dynamic Southern Coast, Korea. </w:t>
      </w:r>
      <w:r w:rsidRPr="00070CA7">
        <w:rPr>
          <w:i/>
          <w:iCs/>
        </w:rPr>
        <w:t>Scientific reports</w:t>
      </w:r>
      <w:r w:rsidRPr="00070CA7">
        <w:t>, </w:t>
      </w:r>
      <w:r w:rsidRPr="00070CA7">
        <w:rPr>
          <w:i/>
          <w:iCs/>
        </w:rPr>
        <w:t>9</w:t>
      </w:r>
      <w:r w:rsidRPr="00070CA7">
        <w:t>(1), 1-13.</w:t>
      </w:r>
    </w:p>
    <w:p w14:paraId="6C57EE14" w14:textId="3253A6F1" w:rsidR="001526C2" w:rsidRDefault="001526C2" w:rsidP="00092F56">
      <w:pPr>
        <w:ind w:left="720" w:hanging="720"/>
      </w:pPr>
      <w:r w:rsidRPr="001526C2">
        <w:t xml:space="preserve">De Almeida, L. G., de </w:t>
      </w:r>
      <w:proofErr w:type="spellStart"/>
      <w:r w:rsidRPr="001526C2">
        <w:t>Moraes</w:t>
      </w:r>
      <w:proofErr w:type="spellEnd"/>
      <w:r w:rsidRPr="001526C2">
        <w:t xml:space="preserve">, L. A. B., </w:t>
      </w:r>
      <w:proofErr w:type="spellStart"/>
      <w:r w:rsidRPr="001526C2">
        <w:t>Trigo</w:t>
      </w:r>
      <w:proofErr w:type="spellEnd"/>
      <w:r w:rsidRPr="001526C2">
        <w:t xml:space="preserve">, J. R., Omoto, C., &amp; </w:t>
      </w:r>
      <w:proofErr w:type="spellStart"/>
      <w:r w:rsidRPr="001526C2">
        <w:t>Cônsoli</w:t>
      </w:r>
      <w:proofErr w:type="spellEnd"/>
      <w:r w:rsidRPr="001526C2">
        <w:t xml:space="preserve">, F. L. (2017). The gut microbiota of insecticide-resistant insects houses insecticide-degrading bacteria: A potential source for biotechnological exploitation. </w:t>
      </w:r>
      <w:proofErr w:type="spellStart"/>
      <w:r w:rsidRPr="001526C2">
        <w:t>PLoS</w:t>
      </w:r>
      <w:proofErr w:type="spellEnd"/>
      <w:r w:rsidRPr="001526C2">
        <w:t xml:space="preserve"> ONE, 12(3), e0174754.</w:t>
      </w:r>
    </w:p>
    <w:p w14:paraId="5616261B" w14:textId="0D1EA0FC" w:rsidR="001526C2" w:rsidRDefault="001526C2" w:rsidP="00092F56">
      <w:pPr>
        <w:ind w:left="720" w:hanging="720"/>
      </w:pPr>
      <w:proofErr w:type="spellStart"/>
      <w:r w:rsidRPr="001526C2">
        <w:t>Fardisi</w:t>
      </w:r>
      <w:proofErr w:type="spellEnd"/>
      <w:r w:rsidRPr="001526C2">
        <w:t xml:space="preserve">, M., </w:t>
      </w:r>
      <w:proofErr w:type="spellStart"/>
      <w:r w:rsidRPr="001526C2">
        <w:t>Gondhalekar</w:t>
      </w:r>
      <w:proofErr w:type="spellEnd"/>
      <w:r w:rsidRPr="001526C2">
        <w:t>, A. D., &amp; Scharf, M. E. (2017). Development of Diagnostic Insecticide Concentrations and Assessment of Insecticide Susceptibility in German Cockroach (</w:t>
      </w:r>
      <w:proofErr w:type="spellStart"/>
      <w:r w:rsidRPr="001526C2">
        <w:t>Dictyoptera</w:t>
      </w:r>
      <w:proofErr w:type="spellEnd"/>
      <w:r w:rsidRPr="001526C2">
        <w:t xml:space="preserve">: </w:t>
      </w:r>
      <w:proofErr w:type="spellStart"/>
      <w:r w:rsidRPr="001526C2">
        <w:t>Blattellidae</w:t>
      </w:r>
      <w:proofErr w:type="spellEnd"/>
      <w:r w:rsidRPr="001526C2">
        <w:t>) Field Strains Collected from Public Housing. Journal of Economic Entomology, 110(3), 1210-1217.</w:t>
      </w:r>
    </w:p>
    <w:p w14:paraId="6B1292AD" w14:textId="4B662786" w:rsidR="001526C2" w:rsidRDefault="001526C2" w:rsidP="00092F56">
      <w:pPr>
        <w:ind w:left="720" w:hanging="720"/>
      </w:pPr>
      <w:proofErr w:type="spellStart"/>
      <w:r w:rsidRPr="001526C2">
        <w:t>Fierer</w:t>
      </w:r>
      <w:proofErr w:type="spellEnd"/>
      <w:r w:rsidRPr="001526C2">
        <w:t xml:space="preserve">, N., Jackson, J. A., </w:t>
      </w:r>
      <w:proofErr w:type="spellStart"/>
      <w:r w:rsidRPr="001526C2">
        <w:t>Vilgalys</w:t>
      </w:r>
      <w:proofErr w:type="spellEnd"/>
      <w:r w:rsidRPr="001526C2">
        <w:t>, R., &amp; Jackson, R. B. (2005). Assessment of soil microbial community structure by use of taxon-specific quantitative PCR assays. </w:t>
      </w:r>
      <w:r w:rsidRPr="001526C2">
        <w:rPr>
          <w:i/>
          <w:iCs/>
        </w:rPr>
        <w:t>Appl. Environ. Microbiol.</w:t>
      </w:r>
      <w:r w:rsidRPr="001526C2">
        <w:t>, </w:t>
      </w:r>
      <w:r w:rsidRPr="001526C2">
        <w:rPr>
          <w:i/>
          <w:iCs/>
        </w:rPr>
        <w:t>71</w:t>
      </w:r>
      <w:r w:rsidRPr="001526C2">
        <w:t>(7), 4117-4120.</w:t>
      </w:r>
    </w:p>
    <w:p w14:paraId="5E262E20" w14:textId="316CCC59" w:rsidR="001526C2" w:rsidRDefault="001526C2" w:rsidP="00092F56">
      <w:pPr>
        <w:ind w:left="720" w:hanging="720"/>
      </w:pPr>
      <w:proofErr w:type="spellStart"/>
      <w:r w:rsidRPr="001526C2">
        <w:t>Gondhalekar</w:t>
      </w:r>
      <w:proofErr w:type="spellEnd"/>
      <w:r w:rsidRPr="001526C2">
        <w:t xml:space="preserve">, A. D., &amp; Scharf, M. E. (2012). Mechanisms underlying fipronil resistance in a </w:t>
      </w:r>
      <w:proofErr w:type="spellStart"/>
      <w:r w:rsidRPr="001526C2">
        <w:t>multiresistant</w:t>
      </w:r>
      <w:proofErr w:type="spellEnd"/>
      <w:r w:rsidRPr="001526C2">
        <w:t xml:space="preserve"> field strain of the German cockroach (</w:t>
      </w:r>
      <w:proofErr w:type="spellStart"/>
      <w:r w:rsidRPr="001526C2">
        <w:t>Blattodea</w:t>
      </w:r>
      <w:proofErr w:type="spellEnd"/>
      <w:r w:rsidRPr="001526C2">
        <w:t xml:space="preserve">: </w:t>
      </w:r>
      <w:proofErr w:type="spellStart"/>
      <w:r w:rsidRPr="001526C2">
        <w:t>Blattellidae</w:t>
      </w:r>
      <w:proofErr w:type="spellEnd"/>
      <w:r w:rsidRPr="001526C2">
        <w:t>). Journal of medical entomology, 49(1), 122-131.</w:t>
      </w:r>
    </w:p>
    <w:p w14:paraId="4ECF2D7F" w14:textId="238FE159" w:rsidR="00D65A0F" w:rsidRDefault="00D65A0F" w:rsidP="00092F56">
      <w:pPr>
        <w:ind w:left="720" w:hanging="720"/>
      </w:pPr>
      <w:proofErr w:type="spellStart"/>
      <w:r w:rsidRPr="00D65A0F">
        <w:lastRenderedPageBreak/>
        <w:t>Kakumanu</w:t>
      </w:r>
      <w:proofErr w:type="spellEnd"/>
      <w:r w:rsidRPr="00D65A0F">
        <w:t xml:space="preserve">, M. L., Maritz, J. M., Carlton, J. M., &amp; </w:t>
      </w:r>
      <w:proofErr w:type="spellStart"/>
      <w:r w:rsidRPr="00D65A0F">
        <w:t>Schal</w:t>
      </w:r>
      <w:proofErr w:type="spellEnd"/>
      <w:r w:rsidRPr="00D65A0F">
        <w:t>, C. (2018). Overlapping community compositions of gut and fecal microbiomes in lab-reared and field-collected German cockroaches. </w:t>
      </w:r>
      <w:r w:rsidRPr="00D65A0F">
        <w:rPr>
          <w:i/>
          <w:iCs/>
        </w:rPr>
        <w:t>Applied and environmental microbiology</w:t>
      </w:r>
      <w:r w:rsidRPr="00D65A0F">
        <w:t>, </w:t>
      </w:r>
      <w:r w:rsidRPr="00D65A0F">
        <w:rPr>
          <w:i/>
          <w:iCs/>
        </w:rPr>
        <w:t>84</w:t>
      </w:r>
      <w:r w:rsidRPr="00D65A0F">
        <w:t>(17).</w:t>
      </w:r>
    </w:p>
    <w:p w14:paraId="14829B51" w14:textId="5EBB3438" w:rsidR="001C15E9" w:rsidRDefault="001C15E9" w:rsidP="00092F56">
      <w:pPr>
        <w:ind w:left="720" w:hanging="720"/>
      </w:pPr>
      <w:proofErr w:type="spellStart"/>
      <w:r w:rsidRPr="001C15E9">
        <w:t>Kozich</w:t>
      </w:r>
      <w:proofErr w:type="spellEnd"/>
      <w:r w:rsidRPr="001C15E9">
        <w:t xml:space="preserve">, J. J., Westcott, S. L., Baxter, N. T., Highlander, S. K., &amp; Schloss, P. D. (2013). Development of a dual-index sequencing strategy and curation pipeline for analyzing amplicon sequence data on the </w:t>
      </w:r>
      <w:proofErr w:type="spellStart"/>
      <w:r w:rsidRPr="001C15E9">
        <w:t>MiSeq</w:t>
      </w:r>
      <w:proofErr w:type="spellEnd"/>
      <w:r w:rsidRPr="001C15E9">
        <w:t xml:space="preserve"> Illumina sequencing platform. </w:t>
      </w:r>
      <w:r w:rsidRPr="001C15E9">
        <w:rPr>
          <w:i/>
          <w:iCs/>
        </w:rPr>
        <w:t>Appl. Environ. Microbiol.</w:t>
      </w:r>
      <w:r w:rsidRPr="001C15E9">
        <w:t>, </w:t>
      </w:r>
      <w:r w:rsidRPr="001C15E9">
        <w:rPr>
          <w:i/>
          <w:iCs/>
        </w:rPr>
        <w:t>79</w:t>
      </w:r>
      <w:r w:rsidRPr="001C15E9">
        <w:t>(17), 5112-5120.</w:t>
      </w:r>
    </w:p>
    <w:p w14:paraId="2DFBFC91" w14:textId="285C7A83" w:rsidR="00DD4A06" w:rsidRDefault="00DD4A06" w:rsidP="00092F56">
      <w:pPr>
        <w:ind w:left="720" w:hanging="720"/>
      </w:pPr>
      <w:r w:rsidRPr="00DD4A06">
        <w:t xml:space="preserve">Ley, R. E., </w:t>
      </w:r>
      <w:proofErr w:type="spellStart"/>
      <w:r w:rsidRPr="00DD4A06">
        <w:t>Turnbaugh</w:t>
      </w:r>
      <w:proofErr w:type="spellEnd"/>
      <w:r w:rsidRPr="00DD4A06">
        <w:t>, P. J., Klein, S., &amp; Gordon, J. I. (2006). Human gut microbes associated with obesity. </w:t>
      </w:r>
      <w:r w:rsidRPr="00DD4A06">
        <w:rPr>
          <w:i/>
          <w:iCs/>
        </w:rPr>
        <w:t>nature</w:t>
      </w:r>
      <w:r w:rsidRPr="00DD4A06">
        <w:t>, </w:t>
      </w:r>
      <w:r w:rsidRPr="00DD4A06">
        <w:rPr>
          <w:i/>
          <w:iCs/>
        </w:rPr>
        <w:t>444</w:t>
      </w:r>
      <w:r w:rsidRPr="00DD4A06">
        <w:t>(7122), 1022-1023.</w:t>
      </w:r>
    </w:p>
    <w:p w14:paraId="6BCAB51C" w14:textId="5B001A40" w:rsidR="00092F56" w:rsidRDefault="00092F56" w:rsidP="00092F56">
      <w:pPr>
        <w:ind w:left="720" w:hanging="720"/>
      </w:pPr>
      <w:r w:rsidRPr="00092F56">
        <w:t xml:space="preserve">López-Sánchez, M. J., </w:t>
      </w:r>
      <w:proofErr w:type="spellStart"/>
      <w:r w:rsidRPr="00092F56">
        <w:t>Neef</w:t>
      </w:r>
      <w:proofErr w:type="spellEnd"/>
      <w:r w:rsidRPr="00092F56">
        <w:t xml:space="preserve">, A., </w:t>
      </w:r>
      <w:proofErr w:type="spellStart"/>
      <w:r w:rsidRPr="00092F56">
        <w:t>Peretó</w:t>
      </w:r>
      <w:proofErr w:type="spellEnd"/>
      <w:r w:rsidRPr="00092F56">
        <w:t xml:space="preserve">, J., </w:t>
      </w:r>
      <w:proofErr w:type="spellStart"/>
      <w:r w:rsidRPr="00092F56">
        <w:t>Patiño</w:t>
      </w:r>
      <w:proofErr w:type="spellEnd"/>
      <w:r w:rsidRPr="00092F56">
        <w:t xml:space="preserve">-Navarrete, R., Pignatelli, M., </w:t>
      </w:r>
      <w:proofErr w:type="spellStart"/>
      <w:r w:rsidRPr="00092F56">
        <w:t>Latorre</w:t>
      </w:r>
      <w:proofErr w:type="spellEnd"/>
      <w:r w:rsidRPr="00092F56">
        <w:t xml:space="preserve">, A., &amp; Moya, A. (2009). Evolutionary convergence and nitrogen metabolism in </w:t>
      </w:r>
      <w:proofErr w:type="spellStart"/>
      <w:r w:rsidRPr="00092F56">
        <w:t>Blattabacterium</w:t>
      </w:r>
      <w:proofErr w:type="spellEnd"/>
      <w:r w:rsidRPr="00092F56">
        <w:t xml:space="preserve"> strain </w:t>
      </w:r>
      <w:proofErr w:type="spellStart"/>
      <w:r w:rsidRPr="00092F56">
        <w:t>Bge</w:t>
      </w:r>
      <w:proofErr w:type="spellEnd"/>
      <w:r w:rsidRPr="00092F56">
        <w:t xml:space="preserve">, primary endosymbiont of the cockroach Blattella </w:t>
      </w:r>
      <w:proofErr w:type="spellStart"/>
      <w:r w:rsidRPr="00092F56">
        <w:t>germanica</w:t>
      </w:r>
      <w:proofErr w:type="spellEnd"/>
      <w:r w:rsidRPr="00092F56">
        <w:t>. </w:t>
      </w:r>
      <w:proofErr w:type="spellStart"/>
      <w:r w:rsidRPr="00092F56">
        <w:rPr>
          <w:i/>
          <w:iCs/>
        </w:rPr>
        <w:t>PLoS</w:t>
      </w:r>
      <w:proofErr w:type="spellEnd"/>
      <w:r w:rsidRPr="00092F56">
        <w:rPr>
          <w:i/>
          <w:iCs/>
        </w:rPr>
        <w:t xml:space="preserve"> genetics</w:t>
      </w:r>
      <w:r w:rsidRPr="00092F56">
        <w:t>, </w:t>
      </w:r>
      <w:r w:rsidRPr="00092F56">
        <w:rPr>
          <w:i/>
          <w:iCs/>
        </w:rPr>
        <w:t>5</w:t>
      </w:r>
      <w:r w:rsidRPr="00092F56">
        <w:t>(11).</w:t>
      </w:r>
    </w:p>
    <w:p w14:paraId="15EFDC12" w14:textId="63B98E30" w:rsidR="00CE3905" w:rsidRDefault="00CE3905" w:rsidP="00092F56">
      <w:pPr>
        <w:ind w:left="720" w:hanging="720"/>
      </w:pPr>
      <w:r w:rsidRPr="00CE3905">
        <w:t xml:space="preserve">Meehan, C. J., &amp; </w:t>
      </w:r>
      <w:proofErr w:type="spellStart"/>
      <w:r w:rsidRPr="00CE3905">
        <w:t>Beiko</w:t>
      </w:r>
      <w:proofErr w:type="spellEnd"/>
      <w:r w:rsidRPr="00CE3905">
        <w:t xml:space="preserve">, R. G. (2014). A phylogenomic view of ecological specialization in the </w:t>
      </w:r>
      <w:proofErr w:type="spellStart"/>
      <w:r w:rsidRPr="00CE3905">
        <w:t>Lachnospiraceae</w:t>
      </w:r>
      <w:proofErr w:type="spellEnd"/>
      <w:r w:rsidRPr="00CE3905">
        <w:t>, a family of digestive tract-associated bacteria. </w:t>
      </w:r>
      <w:r w:rsidRPr="00CE3905">
        <w:rPr>
          <w:i/>
          <w:iCs/>
        </w:rPr>
        <w:t>Genome biology and evolution</w:t>
      </w:r>
      <w:r w:rsidRPr="00CE3905">
        <w:t>, </w:t>
      </w:r>
      <w:r w:rsidRPr="00CE3905">
        <w:rPr>
          <w:i/>
          <w:iCs/>
        </w:rPr>
        <w:t>6</w:t>
      </w:r>
      <w:r w:rsidRPr="00CE3905">
        <w:t>(3), 703-713.</w:t>
      </w:r>
    </w:p>
    <w:p w14:paraId="30AEC6AD" w14:textId="3FEB085C" w:rsidR="00E61A07" w:rsidRDefault="00E61A07" w:rsidP="00092F56">
      <w:pPr>
        <w:ind w:left="720" w:hanging="720"/>
      </w:pPr>
      <w:r w:rsidRPr="00E61A07">
        <w:t xml:space="preserve">Oksanen, J., Blanchet, F. G., </w:t>
      </w:r>
      <w:proofErr w:type="spellStart"/>
      <w:r w:rsidRPr="00E61A07">
        <w:t>Kindt</w:t>
      </w:r>
      <w:proofErr w:type="spellEnd"/>
      <w:r w:rsidRPr="00E61A07">
        <w:t xml:space="preserve">, R., Legendre, P., Minchin, P. R., </w:t>
      </w:r>
      <w:proofErr w:type="spellStart"/>
      <w:r w:rsidRPr="00E61A07">
        <w:t>O’hara</w:t>
      </w:r>
      <w:proofErr w:type="spellEnd"/>
      <w:r w:rsidRPr="00E61A07">
        <w:t>, R. B., ... &amp; Oksanen, M. J. (2013). Package ‘vegan’. </w:t>
      </w:r>
      <w:r w:rsidRPr="00E61A07">
        <w:rPr>
          <w:i/>
          <w:iCs/>
        </w:rPr>
        <w:t>Community ecology package, version</w:t>
      </w:r>
      <w:r w:rsidRPr="00E61A07">
        <w:t>, </w:t>
      </w:r>
      <w:r w:rsidRPr="00E61A07">
        <w:rPr>
          <w:i/>
          <w:iCs/>
        </w:rPr>
        <w:t>2</w:t>
      </w:r>
      <w:r w:rsidRPr="00E61A07">
        <w:t>(9), 1-295.</w:t>
      </w:r>
    </w:p>
    <w:p w14:paraId="1DC5EA8A" w14:textId="3BC28681" w:rsidR="00D65A0F" w:rsidRDefault="00D65A0F" w:rsidP="00092F56">
      <w:pPr>
        <w:ind w:left="720" w:hanging="720"/>
      </w:pPr>
      <w:r w:rsidRPr="00D65A0F">
        <w:t xml:space="preserve">Pérez-Cobas, A. E., </w:t>
      </w:r>
      <w:proofErr w:type="spellStart"/>
      <w:r w:rsidRPr="00D65A0F">
        <w:t>Maiques</w:t>
      </w:r>
      <w:proofErr w:type="spellEnd"/>
      <w:r w:rsidRPr="00D65A0F">
        <w:t xml:space="preserve">, E., </w:t>
      </w:r>
      <w:proofErr w:type="spellStart"/>
      <w:r w:rsidRPr="00D65A0F">
        <w:t>Angelova</w:t>
      </w:r>
      <w:proofErr w:type="spellEnd"/>
      <w:r w:rsidRPr="00D65A0F">
        <w:t xml:space="preserve">, A., Carrasco, P., Moya, A., &amp; </w:t>
      </w:r>
      <w:proofErr w:type="spellStart"/>
      <w:r w:rsidRPr="00D65A0F">
        <w:t>Latorre</w:t>
      </w:r>
      <w:proofErr w:type="spellEnd"/>
      <w:r w:rsidRPr="00D65A0F">
        <w:t xml:space="preserve">, A. (2015). Diet shapes the gut microbiota of the omnivorous cockroach Blattella </w:t>
      </w:r>
      <w:proofErr w:type="spellStart"/>
      <w:r w:rsidRPr="00D65A0F">
        <w:t>germanica</w:t>
      </w:r>
      <w:proofErr w:type="spellEnd"/>
      <w:r w:rsidRPr="00D65A0F">
        <w:t>. </w:t>
      </w:r>
      <w:r w:rsidRPr="00D65A0F">
        <w:rPr>
          <w:i/>
          <w:iCs/>
        </w:rPr>
        <w:t>FEMS microbiology ecology</w:t>
      </w:r>
      <w:r w:rsidRPr="00D65A0F">
        <w:t>, </w:t>
      </w:r>
      <w:r w:rsidRPr="00D65A0F">
        <w:rPr>
          <w:i/>
          <w:iCs/>
        </w:rPr>
        <w:t>91</w:t>
      </w:r>
      <w:r w:rsidRPr="00D65A0F">
        <w:t>(4), fiv022.</w:t>
      </w:r>
    </w:p>
    <w:p w14:paraId="4C1595BB" w14:textId="7BE8670A" w:rsidR="00616FCC" w:rsidRDefault="00616FCC" w:rsidP="00092F56">
      <w:pPr>
        <w:ind w:left="720" w:hanging="720"/>
      </w:pPr>
      <w:r w:rsidRPr="00616FCC">
        <w:t>Pietri, J. E., Tiffany, C., &amp; Liang, D. (2018). Disruption of the microbiota affects physiological and evolutionary aspects of insecticide resistance in the German cockroach, an important urban pest. </w:t>
      </w:r>
      <w:proofErr w:type="spellStart"/>
      <w:r w:rsidRPr="00616FCC">
        <w:rPr>
          <w:i/>
          <w:iCs/>
        </w:rPr>
        <w:t>PloS</w:t>
      </w:r>
      <w:proofErr w:type="spellEnd"/>
      <w:r w:rsidRPr="00616FCC">
        <w:rPr>
          <w:i/>
          <w:iCs/>
        </w:rPr>
        <w:t xml:space="preserve"> one</w:t>
      </w:r>
      <w:r w:rsidRPr="00616FCC">
        <w:t>, </w:t>
      </w:r>
      <w:r w:rsidRPr="00616FCC">
        <w:rPr>
          <w:i/>
          <w:iCs/>
        </w:rPr>
        <w:t>13</w:t>
      </w:r>
      <w:r w:rsidRPr="00616FCC">
        <w:t>(12).</w:t>
      </w:r>
    </w:p>
    <w:p w14:paraId="5C40D1F4" w14:textId="67A602F8" w:rsidR="0034719B" w:rsidRDefault="0034719B" w:rsidP="00092F56">
      <w:pPr>
        <w:ind w:left="720" w:hanging="720"/>
      </w:pPr>
      <w:r w:rsidRPr="0034719B">
        <w:t xml:space="preserve">Ryan, R. P., Monchy, S., Cardinale, M., </w:t>
      </w:r>
      <w:proofErr w:type="spellStart"/>
      <w:r w:rsidRPr="0034719B">
        <w:t>Taghavi</w:t>
      </w:r>
      <w:proofErr w:type="spellEnd"/>
      <w:r w:rsidRPr="0034719B">
        <w:t>, S., Crossman, L., Avison, M. B., ... &amp; Dow, J. M. (2009). The versatility and adaptation of bacteria from the genus Stenotrophomonas. </w:t>
      </w:r>
      <w:r w:rsidRPr="0034719B">
        <w:rPr>
          <w:i/>
          <w:iCs/>
        </w:rPr>
        <w:t>Nature Reviews Microbiology</w:t>
      </w:r>
      <w:r w:rsidRPr="0034719B">
        <w:t>, </w:t>
      </w:r>
      <w:r w:rsidRPr="0034719B">
        <w:rPr>
          <w:i/>
          <w:iCs/>
        </w:rPr>
        <w:t>7</w:t>
      </w:r>
      <w:r w:rsidRPr="0034719B">
        <w:t>(7), 514-525.</w:t>
      </w:r>
    </w:p>
    <w:p w14:paraId="0EE4FDB5" w14:textId="10522E3E" w:rsidR="00092F56" w:rsidRDefault="00092F56" w:rsidP="00092F56">
      <w:pPr>
        <w:ind w:left="720" w:hanging="720"/>
      </w:pPr>
      <w:proofErr w:type="spellStart"/>
      <w:r w:rsidRPr="00092F56">
        <w:t>Sabree</w:t>
      </w:r>
      <w:proofErr w:type="spellEnd"/>
      <w:r w:rsidRPr="00092F56">
        <w:t xml:space="preserve">, Z. L., </w:t>
      </w:r>
      <w:proofErr w:type="spellStart"/>
      <w:r w:rsidRPr="00092F56">
        <w:t>Kambhampati</w:t>
      </w:r>
      <w:proofErr w:type="spellEnd"/>
      <w:r w:rsidRPr="00092F56">
        <w:t xml:space="preserve">, S., &amp; Moran, N. A. (2009). Nitrogen recycling and nutritional provisioning by </w:t>
      </w:r>
      <w:proofErr w:type="spellStart"/>
      <w:r w:rsidRPr="00092F56">
        <w:t>Blattabacterium</w:t>
      </w:r>
      <w:proofErr w:type="spellEnd"/>
      <w:r w:rsidRPr="00092F56">
        <w:t>, the cockroach endosymbiont. </w:t>
      </w:r>
      <w:r w:rsidRPr="00092F56">
        <w:rPr>
          <w:i/>
          <w:iCs/>
        </w:rPr>
        <w:t>Proceedings of the National Academy of Sciences</w:t>
      </w:r>
      <w:r w:rsidRPr="00092F56">
        <w:t>, </w:t>
      </w:r>
      <w:r w:rsidRPr="00092F56">
        <w:rPr>
          <w:i/>
          <w:iCs/>
        </w:rPr>
        <w:t>106</w:t>
      </w:r>
      <w:r w:rsidRPr="00092F56">
        <w:t>(46), 19521-19526.</w:t>
      </w:r>
    </w:p>
    <w:p w14:paraId="05F73AB2" w14:textId="6D1BCA20" w:rsidR="00403FAF" w:rsidRDefault="001526C2" w:rsidP="00092F56">
      <w:pPr>
        <w:ind w:left="720" w:hanging="720"/>
      </w:pPr>
      <w:r w:rsidRPr="001526C2">
        <w:t xml:space="preserve">Schloss, P. D., Westcott, S. L., </w:t>
      </w:r>
      <w:proofErr w:type="spellStart"/>
      <w:r w:rsidRPr="001526C2">
        <w:t>Ryabin</w:t>
      </w:r>
      <w:proofErr w:type="spellEnd"/>
      <w:r w:rsidRPr="001526C2">
        <w:t xml:space="preserve">, T., Hall, J. R., Hartmann, M., Hollister, E. B., ... &amp; </w:t>
      </w:r>
      <w:proofErr w:type="spellStart"/>
      <w:r w:rsidRPr="001526C2">
        <w:t>Sahl</w:t>
      </w:r>
      <w:proofErr w:type="spellEnd"/>
      <w:r w:rsidRPr="001526C2">
        <w:t>, J. W. (2009). Introducing mothur: open-source, platform-independent, community-supported software for describing and comparing microbial communities. </w:t>
      </w:r>
      <w:r w:rsidRPr="001526C2">
        <w:rPr>
          <w:i/>
          <w:iCs/>
        </w:rPr>
        <w:t>Appl. Environ. Microbiol.</w:t>
      </w:r>
      <w:r w:rsidRPr="001526C2">
        <w:t>, </w:t>
      </w:r>
      <w:r w:rsidRPr="001526C2">
        <w:rPr>
          <w:i/>
          <w:iCs/>
        </w:rPr>
        <w:t>75</w:t>
      </w:r>
      <w:r w:rsidRPr="001526C2">
        <w:t>(23), 7537-7541.</w:t>
      </w:r>
    </w:p>
    <w:p w14:paraId="14924745" w14:textId="5B2A4954" w:rsidR="00416B3B" w:rsidRDefault="00416B3B" w:rsidP="00092F56">
      <w:pPr>
        <w:ind w:left="720" w:hanging="720"/>
      </w:pPr>
      <w:proofErr w:type="spellStart"/>
      <w:r w:rsidRPr="00416B3B">
        <w:t>Tegtmeier</w:t>
      </w:r>
      <w:proofErr w:type="spellEnd"/>
      <w:r w:rsidRPr="00416B3B">
        <w:t xml:space="preserve">, D., Thompson, C. L., Schauer, C., &amp; </w:t>
      </w:r>
      <w:proofErr w:type="spellStart"/>
      <w:r w:rsidRPr="00416B3B">
        <w:t>Brune</w:t>
      </w:r>
      <w:proofErr w:type="spellEnd"/>
      <w:r w:rsidRPr="00416B3B">
        <w:t>, A. (2016). Oxygen affects gut bacterial colonization and metabolic activities in a gnotobiotic cockroach model. </w:t>
      </w:r>
      <w:r w:rsidRPr="00416B3B">
        <w:rPr>
          <w:i/>
          <w:iCs/>
        </w:rPr>
        <w:t>Appl. Environ. Microbiol.</w:t>
      </w:r>
      <w:r w:rsidRPr="00416B3B">
        <w:t>, </w:t>
      </w:r>
      <w:r w:rsidRPr="00416B3B">
        <w:rPr>
          <w:i/>
          <w:iCs/>
        </w:rPr>
        <w:t>82</w:t>
      </w:r>
      <w:r w:rsidRPr="00416B3B">
        <w:t>(4), 1080-1089.</w:t>
      </w:r>
    </w:p>
    <w:p w14:paraId="44F3F82F" w14:textId="0972CF95" w:rsidR="001526C2" w:rsidRDefault="001526C2" w:rsidP="00092F56">
      <w:pPr>
        <w:ind w:left="720" w:hanging="720"/>
      </w:pPr>
      <w:r w:rsidRPr="001526C2">
        <w:t xml:space="preserve">Wada-Katsumata, A., Zurek, L., </w:t>
      </w:r>
      <w:proofErr w:type="spellStart"/>
      <w:r w:rsidRPr="001526C2">
        <w:t>Nalyanya</w:t>
      </w:r>
      <w:proofErr w:type="spellEnd"/>
      <w:r w:rsidRPr="001526C2">
        <w:t xml:space="preserve">, G., </w:t>
      </w:r>
      <w:proofErr w:type="spellStart"/>
      <w:r w:rsidRPr="001526C2">
        <w:t>Roelofs</w:t>
      </w:r>
      <w:proofErr w:type="spellEnd"/>
      <w:r w:rsidRPr="001526C2">
        <w:t xml:space="preserve">, W., Zhang, A., &amp; </w:t>
      </w:r>
      <w:proofErr w:type="spellStart"/>
      <w:r w:rsidRPr="001526C2">
        <w:t>Schal</w:t>
      </w:r>
      <w:proofErr w:type="spellEnd"/>
      <w:r w:rsidRPr="001526C2">
        <w:t>, C. (2015). Gut bacteria mediate aggregation in the German cockroach. </w:t>
      </w:r>
      <w:r w:rsidRPr="001526C2">
        <w:rPr>
          <w:i/>
          <w:iCs/>
        </w:rPr>
        <w:t>Proceedings of the National Academy of Sciences of the United States of America.,</w:t>
      </w:r>
      <w:r w:rsidRPr="001526C2">
        <w:t> </w:t>
      </w:r>
      <w:r w:rsidRPr="001526C2">
        <w:rPr>
          <w:i/>
          <w:iCs/>
        </w:rPr>
        <w:t>112</w:t>
      </w:r>
      <w:r w:rsidRPr="001526C2">
        <w:t>(51), 15678-15683.</w:t>
      </w:r>
    </w:p>
    <w:p w14:paraId="43D90C0C" w14:textId="3EC21B26" w:rsidR="00EB26A2" w:rsidRPr="00403FAF" w:rsidRDefault="00EB26A2" w:rsidP="00092F56">
      <w:pPr>
        <w:ind w:left="720" w:hanging="720"/>
      </w:pPr>
      <w:r w:rsidRPr="00EB26A2">
        <w:lastRenderedPageBreak/>
        <w:t xml:space="preserve">Wells, C. L., &amp; Wilkins, T. D. (1996). Clostridia: </w:t>
      </w:r>
      <w:proofErr w:type="spellStart"/>
      <w:r w:rsidRPr="00EB26A2">
        <w:t>sporeforming</w:t>
      </w:r>
      <w:proofErr w:type="spellEnd"/>
      <w:r w:rsidRPr="00EB26A2">
        <w:t xml:space="preserve"> anaerobic bacilli. In </w:t>
      </w:r>
      <w:r w:rsidRPr="00EB26A2">
        <w:rPr>
          <w:i/>
          <w:iCs/>
        </w:rPr>
        <w:t>Medical Microbiology. 4th edition</w:t>
      </w:r>
      <w:r w:rsidRPr="00EB26A2">
        <w:t>. University of Texas Medical Branch at Galveston.</w:t>
      </w:r>
    </w:p>
    <w:sectPr w:rsidR="00EB26A2" w:rsidRPr="00403FAF" w:rsidSect="00A4743C">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Zachery Wolfe" w:date="2020-04-25T18:59:00Z" w:initials="ZW">
    <w:p w14:paraId="49665ECF" w14:textId="567C8960" w:rsidR="00FE0CDA" w:rsidRDefault="00FE0CDA">
      <w:pPr>
        <w:pStyle w:val="CommentText"/>
      </w:pPr>
      <w:r>
        <w:rPr>
          <w:rStyle w:val="CommentReference"/>
        </w:rPr>
        <w:annotationRef/>
      </w:r>
      <w:r>
        <w:t>Change source?</w:t>
      </w:r>
    </w:p>
  </w:comment>
  <w:comment w:id="2" w:author="Zachery Wolfe" w:date="2020-04-25T14:49:00Z" w:initials="ZW">
    <w:p w14:paraId="294984ED" w14:textId="77777777" w:rsidR="00A808B1" w:rsidRDefault="00FE0CDA" w:rsidP="00B55947">
      <w:pPr>
        <w:pStyle w:val="CommentText"/>
      </w:pPr>
      <w:r>
        <w:rPr>
          <w:rStyle w:val="CommentReference"/>
        </w:rPr>
        <w:annotationRef/>
      </w:r>
      <w:r>
        <w:t xml:space="preserve">How do I format these tests? </w:t>
      </w:r>
    </w:p>
    <w:p w14:paraId="555BA5C4" w14:textId="77777777" w:rsidR="00B55947" w:rsidRDefault="00B55947" w:rsidP="00B55947">
      <w:pPr>
        <w:pStyle w:val="CommentText"/>
      </w:pPr>
    </w:p>
    <w:p w14:paraId="127AD1C6" w14:textId="6323B6C2" w:rsidR="00B55947" w:rsidRDefault="00B55947" w:rsidP="00B55947">
      <w:pPr>
        <w:pStyle w:val="CommentText"/>
      </w:pPr>
      <w:r>
        <w:t xml:space="preserve">Do you think </w:t>
      </w:r>
      <w:proofErr w:type="gramStart"/>
      <w:r>
        <w:t>it’s</w:t>
      </w:r>
      <w:proofErr w:type="gramEnd"/>
      <w:r>
        <w:t xml:space="preserve"> better with images or the paragraph below?</w:t>
      </w:r>
    </w:p>
  </w:comment>
  <w:comment w:id="3" w:author="Zachery Wolfe" w:date="2020-04-24T17:53:00Z" w:initials="ZW">
    <w:p w14:paraId="1394A142" w14:textId="77777777" w:rsidR="0058282C" w:rsidRDefault="0058282C" w:rsidP="0058282C">
      <w:pPr>
        <w:pStyle w:val="CommentText"/>
      </w:pPr>
      <w:r>
        <w:rPr>
          <w:rStyle w:val="CommentReference"/>
        </w:rPr>
        <w:annotationRef/>
      </w:r>
      <w:r>
        <w:t>Beta diversity: Need to explain more, how?</w:t>
      </w:r>
    </w:p>
  </w:comment>
  <w:comment w:id="4" w:author="Zachery Wolfe" w:date="2020-04-25T10:07:00Z" w:initials="ZW">
    <w:p w14:paraId="21FF4850" w14:textId="66CE4537" w:rsidR="00FE0CDA" w:rsidRDefault="00FE0CDA">
      <w:pPr>
        <w:pStyle w:val="CommentText"/>
      </w:pPr>
      <w:r>
        <w:rPr>
          <w:rStyle w:val="CommentReference"/>
        </w:rPr>
        <w:annotationRef/>
      </w:r>
      <w:r>
        <w:t>Word this better</w:t>
      </w:r>
    </w:p>
  </w:comment>
  <w:comment w:id="5" w:author="Zachery Wolfe" w:date="2020-04-26T19:30:00Z" w:initials="ZW">
    <w:p w14:paraId="65F12AC4" w14:textId="1A0EC9E8" w:rsidR="00FE0CDA" w:rsidRDefault="00FE0CDA">
      <w:pPr>
        <w:pStyle w:val="CommentText"/>
      </w:pPr>
      <w:r>
        <w:rPr>
          <w:rStyle w:val="CommentReference"/>
        </w:rPr>
        <w:annotationRef/>
      </w:r>
      <w:r>
        <w:t>Is this header necessary?</w:t>
      </w:r>
    </w:p>
  </w:comment>
  <w:comment w:id="6" w:author="Zachery Wolfe" w:date="2020-04-26T19:30:00Z" w:initials="ZW">
    <w:p w14:paraId="44649BC7" w14:textId="29A8ADFD" w:rsidR="00FE0CDA" w:rsidRDefault="00FE0CDA">
      <w:pPr>
        <w:pStyle w:val="CommentText"/>
      </w:pPr>
      <w:r>
        <w:rPr>
          <w:rStyle w:val="CommentReference"/>
        </w:rPr>
        <w:annotationRef/>
      </w:r>
      <w:r>
        <w:t>Is this header necessary?</w:t>
      </w:r>
    </w:p>
  </w:comment>
  <w:comment w:id="7" w:author="Zachery Wolfe" w:date="2020-04-28T09:43:00Z" w:initials="ZW">
    <w:p w14:paraId="542F0305" w14:textId="2919F2DA" w:rsidR="00194589" w:rsidRDefault="00194589">
      <w:pPr>
        <w:pStyle w:val="CommentText"/>
      </w:pPr>
      <w:r>
        <w:rPr>
          <w:rStyle w:val="CommentReference"/>
        </w:rPr>
        <w:annotationRef/>
      </w:r>
      <w:r>
        <w:t>Say more about beta diversity, how?</w:t>
      </w:r>
    </w:p>
  </w:comment>
  <w:comment w:id="8" w:author="Zachery Wolfe" w:date="2020-04-24T18:03:00Z" w:initials="ZW">
    <w:p w14:paraId="411140BE" w14:textId="77777777" w:rsidR="00FE0CDA" w:rsidRDefault="00FE0CDA" w:rsidP="000460A1">
      <w:pPr>
        <w:pStyle w:val="CommentText"/>
      </w:pPr>
      <w:r>
        <w:rPr>
          <w:rStyle w:val="CommentReference"/>
        </w:rPr>
        <w:annotationRef/>
      </w:r>
      <w:r>
        <w:t>Substitute word: colonize?</w:t>
      </w:r>
    </w:p>
  </w:comment>
  <w:comment w:id="9" w:author="Zachery Wolfe" w:date="2020-04-24T18:08:00Z" w:initials="ZW">
    <w:p w14:paraId="4DED806E" w14:textId="77777777" w:rsidR="00FE0CDA" w:rsidRDefault="00FE0CDA" w:rsidP="000460A1">
      <w:pPr>
        <w:pStyle w:val="CommentText"/>
      </w:pPr>
      <w:r>
        <w:rPr>
          <w:rStyle w:val="CommentReference"/>
        </w:rPr>
        <w:annotationRef/>
      </w:r>
      <w:r>
        <w:t>See if this word is scientifically accurate</w:t>
      </w:r>
    </w:p>
  </w:comment>
  <w:comment w:id="10" w:author="Zachery Wolfe" w:date="2020-04-26T14:20:00Z" w:initials="ZW">
    <w:p w14:paraId="5FB47C90" w14:textId="77777777" w:rsidR="00FE0CDA" w:rsidRDefault="00FE0CDA" w:rsidP="00281BCC">
      <w:pPr>
        <w:pStyle w:val="CommentText"/>
      </w:pPr>
      <w:r>
        <w:rPr>
          <w:rStyle w:val="CommentReference"/>
        </w:rPr>
        <w:annotationRef/>
      </w:r>
      <w:r>
        <w:t>Is this a legitimate suggestion?</w:t>
      </w:r>
    </w:p>
  </w:comment>
  <w:comment w:id="11" w:author="Zachery Wolfe" w:date="2020-04-26T20:23:00Z" w:initials="ZW">
    <w:p w14:paraId="7D2C29A1" w14:textId="114C62C5" w:rsidR="00FE0CDA" w:rsidRDefault="00FE0CDA">
      <w:pPr>
        <w:pStyle w:val="CommentText"/>
      </w:pPr>
      <w:r>
        <w:rPr>
          <w:rStyle w:val="CommentReference"/>
        </w:rPr>
        <w:annotationRef/>
      </w:r>
      <w:r>
        <w:t xml:space="preserve">Okay to add someone else’s figure to this manuscript as long as I cite </w:t>
      </w:r>
      <w:proofErr w:type="gramStart"/>
      <w:r>
        <w:t>them?</w:t>
      </w:r>
      <w:proofErr w:type="gramEnd"/>
    </w:p>
  </w:comment>
  <w:comment w:id="13" w:author="Zachery Wolfe" w:date="2020-04-26T20:33:00Z" w:initials="ZW">
    <w:p w14:paraId="4C16066D" w14:textId="45D5F671" w:rsidR="00FE0CDA" w:rsidRDefault="00FE0CDA">
      <w:pPr>
        <w:pStyle w:val="CommentText"/>
      </w:pPr>
      <w:r>
        <w:rPr>
          <w:rStyle w:val="CommentReference"/>
        </w:rPr>
        <w:annotationRef/>
      </w:r>
      <w:r>
        <w:t>Word this better; there are differences in the bacterial taxa…?</w:t>
      </w:r>
    </w:p>
  </w:comment>
  <w:comment w:id="14" w:author="Zachery Wolfe" w:date="2020-04-27T18:12:00Z" w:initials="ZW">
    <w:p w14:paraId="47C57895" w14:textId="27457E05" w:rsidR="001223F3" w:rsidRDefault="001223F3">
      <w:pPr>
        <w:pStyle w:val="CommentText"/>
      </w:pPr>
      <w:r>
        <w:rPr>
          <w:rStyle w:val="CommentReference"/>
        </w:rPr>
        <w:annotationRef/>
      </w:r>
      <w:r>
        <w:t xml:space="preserve">Too far </w:t>
      </w:r>
      <w:proofErr w:type="gramStart"/>
      <w:r>
        <w:t>reaching?</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665ECF" w15:done="0"/>
  <w15:commentEx w15:paraId="127AD1C6" w15:done="0"/>
  <w15:commentEx w15:paraId="1394A142" w15:done="0"/>
  <w15:commentEx w15:paraId="21FF4850" w15:done="0"/>
  <w15:commentEx w15:paraId="65F12AC4" w15:done="0"/>
  <w15:commentEx w15:paraId="44649BC7" w15:done="0"/>
  <w15:commentEx w15:paraId="542F0305" w15:done="0"/>
  <w15:commentEx w15:paraId="411140BE" w15:done="0"/>
  <w15:commentEx w15:paraId="4DED806E" w15:done="0"/>
  <w15:commentEx w15:paraId="5FB47C90" w15:done="0"/>
  <w15:commentEx w15:paraId="7D2C29A1" w15:done="0"/>
  <w15:commentEx w15:paraId="4C16066D" w15:done="0"/>
  <w15:commentEx w15:paraId="47C578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665ECF" w16cid:durableId="224F0720"/>
  <w16cid:commentId w16cid:paraId="127AD1C6" w16cid:durableId="224ECC78"/>
  <w16cid:commentId w16cid:paraId="1394A142" w16cid:durableId="224DA631"/>
  <w16cid:commentId w16cid:paraId="21FF4850" w16cid:durableId="224E8A51"/>
  <w16cid:commentId w16cid:paraId="65F12AC4" w16cid:durableId="22505FD1"/>
  <w16cid:commentId w16cid:paraId="44649BC7" w16cid:durableId="22505FDF"/>
  <w16cid:commentId w16cid:paraId="542F0305" w16cid:durableId="2252793A"/>
  <w16cid:commentId w16cid:paraId="411140BE" w16cid:durableId="224DA87F"/>
  <w16cid:commentId w16cid:paraId="4DED806E" w16cid:durableId="224DA98E"/>
  <w16cid:commentId w16cid:paraId="5FB47C90" w16cid:durableId="22501742"/>
  <w16cid:commentId w16cid:paraId="7D2C29A1" w16cid:durableId="22506C56"/>
  <w16cid:commentId w16cid:paraId="4C16066D" w16cid:durableId="22506E95"/>
  <w16cid:commentId w16cid:paraId="47C57895" w16cid:durableId="22519F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0C0D6" w14:textId="77777777" w:rsidR="003A1737" w:rsidRDefault="003A1737" w:rsidP="003A1737">
      <w:pPr>
        <w:spacing w:after="0" w:line="240" w:lineRule="auto"/>
      </w:pPr>
      <w:r>
        <w:separator/>
      </w:r>
    </w:p>
  </w:endnote>
  <w:endnote w:type="continuationSeparator" w:id="0">
    <w:p w14:paraId="1E46480E" w14:textId="77777777" w:rsidR="003A1737" w:rsidRDefault="003A1737" w:rsidP="003A1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084734"/>
      <w:docPartObj>
        <w:docPartGallery w:val="Page Numbers (Bottom of Page)"/>
        <w:docPartUnique/>
      </w:docPartObj>
    </w:sdtPr>
    <w:sdtEndPr>
      <w:rPr>
        <w:noProof/>
      </w:rPr>
    </w:sdtEndPr>
    <w:sdtContent>
      <w:p w14:paraId="723712DB" w14:textId="0856DC74" w:rsidR="00A4743C" w:rsidRDefault="00A474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CE70C4" w14:textId="77777777" w:rsidR="00A4743C" w:rsidRDefault="00A47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01346" w14:textId="77777777" w:rsidR="003A1737" w:rsidRDefault="003A1737" w:rsidP="003A1737">
      <w:pPr>
        <w:spacing w:after="0" w:line="240" w:lineRule="auto"/>
      </w:pPr>
      <w:r>
        <w:separator/>
      </w:r>
    </w:p>
  </w:footnote>
  <w:footnote w:type="continuationSeparator" w:id="0">
    <w:p w14:paraId="5B1C6751" w14:textId="77777777" w:rsidR="003A1737" w:rsidRDefault="003A1737" w:rsidP="003A1737">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achery Wolfe">
    <w15:presenceInfo w15:providerId="Windows Live" w15:userId="0ebad1c2066c7a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568"/>
    <w:rsid w:val="0000045B"/>
    <w:rsid w:val="00001BD0"/>
    <w:rsid w:val="0003266B"/>
    <w:rsid w:val="000460A1"/>
    <w:rsid w:val="000520F0"/>
    <w:rsid w:val="000630BA"/>
    <w:rsid w:val="00070CA7"/>
    <w:rsid w:val="00092F56"/>
    <w:rsid w:val="000952D3"/>
    <w:rsid w:val="000A2BEB"/>
    <w:rsid w:val="000B3211"/>
    <w:rsid w:val="000C08AD"/>
    <w:rsid w:val="000C294D"/>
    <w:rsid w:val="000C3321"/>
    <w:rsid w:val="000F20A1"/>
    <w:rsid w:val="00100F64"/>
    <w:rsid w:val="001223F3"/>
    <w:rsid w:val="0013406F"/>
    <w:rsid w:val="00142804"/>
    <w:rsid w:val="00147FE4"/>
    <w:rsid w:val="001526C2"/>
    <w:rsid w:val="00155F5E"/>
    <w:rsid w:val="00162F78"/>
    <w:rsid w:val="001664E8"/>
    <w:rsid w:val="00180568"/>
    <w:rsid w:val="00194589"/>
    <w:rsid w:val="001960A3"/>
    <w:rsid w:val="001B6D0F"/>
    <w:rsid w:val="001B712A"/>
    <w:rsid w:val="001C0D64"/>
    <w:rsid w:val="001C15E9"/>
    <w:rsid w:val="001E3570"/>
    <w:rsid w:val="00227885"/>
    <w:rsid w:val="00230FA9"/>
    <w:rsid w:val="00236C4D"/>
    <w:rsid w:val="00242F5E"/>
    <w:rsid w:val="0024689C"/>
    <w:rsid w:val="00257369"/>
    <w:rsid w:val="002730D5"/>
    <w:rsid w:val="002810E1"/>
    <w:rsid w:val="00281BCC"/>
    <w:rsid w:val="00284BE3"/>
    <w:rsid w:val="002D0807"/>
    <w:rsid w:val="002D3DC9"/>
    <w:rsid w:val="00305B67"/>
    <w:rsid w:val="00306ED8"/>
    <w:rsid w:val="00313445"/>
    <w:rsid w:val="00316D5E"/>
    <w:rsid w:val="0032662E"/>
    <w:rsid w:val="0034463C"/>
    <w:rsid w:val="0034719B"/>
    <w:rsid w:val="00361BA7"/>
    <w:rsid w:val="003A1737"/>
    <w:rsid w:val="003A69E9"/>
    <w:rsid w:val="003B1F42"/>
    <w:rsid w:val="003D6AFC"/>
    <w:rsid w:val="003D711E"/>
    <w:rsid w:val="003F1126"/>
    <w:rsid w:val="00403FAF"/>
    <w:rsid w:val="0041677D"/>
    <w:rsid w:val="00416B3B"/>
    <w:rsid w:val="00423143"/>
    <w:rsid w:val="00434CA1"/>
    <w:rsid w:val="00441CD5"/>
    <w:rsid w:val="00462351"/>
    <w:rsid w:val="004805E4"/>
    <w:rsid w:val="00485DFA"/>
    <w:rsid w:val="00496AEC"/>
    <w:rsid w:val="004A5C94"/>
    <w:rsid w:val="004B3925"/>
    <w:rsid w:val="004C2BF5"/>
    <w:rsid w:val="004D0B50"/>
    <w:rsid w:val="004E0E67"/>
    <w:rsid w:val="004F2F79"/>
    <w:rsid w:val="0051115B"/>
    <w:rsid w:val="005628B1"/>
    <w:rsid w:val="0058282C"/>
    <w:rsid w:val="00596CBE"/>
    <w:rsid w:val="005D33FE"/>
    <w:rsid w:val="00606AAC"/>
    <w:rsid w:val="00616FCC"/>
    <w:rsid w:val="00655136"/>
    <w:rsid w:val="00655EEC"/>
    <w:rsid w:val="00657287"/>
    <w:rsid w:val="00661900"/>
    <w:rsid w:val="00662109"/>
    <w:rsid w:val="0067354F"/>
    <w:rsid w:val="00677E01"/>
    <w:rsid w:val="00681612"/>
    <w:rsid w:val="0069687D"/>
    <w:rsid w:val="006A2989"/>
    <w:rsid w:val="006A72EC"/>
    <w:rsid w:val="006B04BB"/>
    <w:rsid w:val="006D7C92"/>
    <w:rsid w:val="006E7A0F"/>
    <w:rsid w:val="0070399D"/>
    <w:rsid w:val="00726753"/>
    <w:rsid w:val="00750165"/>
    <w:rsid w:val="00756927"/>
    <w:rsid w:val="007905B4"/>
    <w:rsid w:val="00794DE1"/>
    <w:rsid w:val="00795873"/>
    <w:rsid w:val="007A5D8A"/>
    <w:rsid w:val="007A7300"/>
    <w:rsid w:val="007B441C"/>
    <w:rsid w:val="007C2D01"/>
    <w:rsid w:val="007C370A"/>
    <w:rsid w:val="007D7DD7"/>
    <w:rsid w:val="0080212C"/>
    <w:rsid w:val="00882DBF"/>
    <w:rsid w:val="00890087"/>
    <w:rsid w:val="0089451D"/>
    <w:rsid w:val="008A676A"/>
    <w:rsid w:val="008B2B25"/>
    <w:rsid w:val="008C0EC1"/>
    <w:rsid w:val="008D070F"/>
    <w:rsid w:val="008F4FF9"/>
    <w:rsid w:val="00900CE0"/>
    <w:rsid w:val="00917521"/>
    <w:rsid w:val="00921C3B"/>
    <w:rsid w:val="009457ED"/>
    <w:rsid w:val="00983FE4"/>
    <w:rsid w:val="009A7BAA"/>
    <w:rsid w:val="009D7403"/>
    <w:rsid w:val="00A4743C"/>
    <w:rsid w:val="00A6272E"/>
    <w:rsid w:val="00A66B0D"/>
    <w:rsid w:val="00A808B1"/>
    <w:rsid w:val="00A845A4"/>
    <w:rsid w:val="00AE3D43"/>
    <w:rsid w:val="00AE694B"/>
    <w:rsid w:val="00B13011"/>
    <w:rsid w:val="00B14107"/>
    <w:rsid w:val="00B32AEB"/>
    <w:rsid w:val="00B4132E"/>
    <w:rsid w:val="00B4321B"/>
    <w:rsid w:val="00B4478C"/>
    <w:rsid w:val="00B4563D"/>
    <w:rsid w:val="00B45CE5"/>
    <w:rsid w:val="00B55947"/>
    <w:rsid w:val="00B65A8B"/>
    <w:rsid w:val="00B75A3F"/>
    <w:rsid w:val="00B9735C"/>
    <w:rsid w:val="00BB2864"/>
    <w:rsid w:val="00BB2868"/>
    <w:rsid w:val="00BD7146"/>
    <w:rsid w:val="00C14FEA"/>
    <w:rsid w:val="00C27428"/>
    <w:rsid w:val="00C346F6"/>
    <w:rsid w:val="00C43717"/>
    <w:rsid w:val="00C74CCE"/>
    <w:rsid w:val="00C857FA"/>
    <w:rsid w:val="00CB4A46"/>
    <w:rsid w:val="00CC3EF2"/>
    <w:rsid w:val="00CC7C2F"/>
    <w:rsid w:val="00CE3905"/>
    <w:rsid w:val="00CF574E"/>
    <w:rsid w:val="00D20379"/>
    <w:rsid w:val="00D47134"/>
    <w:rsid w:val="00D500F0"/>
    <w:rsid w:val="00D65A0F"/>
    <w:rsid w:val="00D67CF0"/>
    <w:rsid w:val="00D72C47"/>
    <w:rsid w:val="00D95F10"/>
    <w:rsid w:val="00DD05C6"/>
    <w:rsid w:val="00DD43BA"/>
    <w:rsid w:val="00DD4A06"/>
    <w:rsid w:val="00DF2B74"/>
    <w:rsid w:val="00DF4732"/>
    <w:rsid w:val="00E0595B"/>
    <w:rsid w:val="00E55121"/>
    <w:rsid w:val="00E61A07"/>
    <w:rsid w:val="00E6471F"/>
    <w:rsid w:val="00E70363"/>
    <w:rsid w:val="00E92BB6"/>
    <w:rsid w:val="00E968CD"/>
    <w:rsid w:val="00EA62A5"/>
    <w:rsid w:val="00EB1F94"/>
    <w:rsid w:val="00EB26A2"/>
    <w:rsid w:val="00EB786C"/>
    <w:rsid w:val="00EC207A"/>
    <w:rsid w:val="00F2045D"/>
    <w:rsid w:val="00F4094C"/>
    <w:rsid w:val="00F54408"/>
    <w:rsid w:val="00F55D69"/>
    <w:rsid w:val="00F62AA7"/>
    <w:rsid w:val="00F66A27"/>
    <w:rsid w:val="00FA28E1"/>
    <w:rsid w:val="00FB7A7B"/>
    <w:rsid w:val="00FE0CDA"/>
    <w:rsid w:val="00FE53EF"/>
    <w:rsid w:val="00FE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26ADB"/>
  <w15:chartTrackingRefBased/>
  <w15:docId w15:val="{6C35566C-DE09-4BFE-8243-470B08C69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CA1"/>
  </w:style>
  <w:style w:type="paragraph" w:styleId="Heading2">
    <w:name w:val="heading 2"/>
    <w:basedOn w:val="Normal"/>
    <w:next w:val="Normal"/>
    <w:link w:val="Heading2Char"/>
    <w:uiPriority w:val="9"/>
    <w:semiHidden/>
    <w:unhideWhenUsed/>
    <w:qFormat/>
    <w:rsid w:val="00230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A28E1"/>
    <w:rPr>
      <w:sz w:val="16"/>
      <w:szCs w:val="16"/>
    </w:rPr>
  </w:style>
  <w:style w:type="paragraph" w:styleId="CommentText">
    <w:name w:val="annotation text"/>
    <w:basedOn w:val="Normal"/>
    <w:link w:val="CommentTextChar"/>
    <w:uiPriority w:val="99"/>
    <w:unhideWhenUsed/>
    <w:rsid w:val="00FA28E1"/>
    <w:pPr>
      <w:spacing w:line="240" w:lineRule="auto"/>
    </w:pPr>
    <w:rPr>
      <w:sz w:val="20"/>
      <w:szCs w:val="20"/>
    </w:rPr>
  </w:style>
  <w:style w:type="character" w:customStyle="1" w:styleId="CommentTextChar">
    <w:name w:val="Comment Text Char"/>
    <w:basedOn w:val="DefaultParagraphFont"/>
    <w:link w:val="CommentText"/>
    <w:uiPriority w:val="99"/>
    <w:rsid w:val="00FA28E1"/>
    <w:rPr>
      <w:sz w:val="20"/>
      <w:szCs w:val="20"/>
    </w:rPr>
  </w:style>
  <w:style w:type="paragraph" w:styleId="CommentSubject">
    <w:name w:val="annotation subject"/>
    <w:basedOn w:val="CommentText"/>
    <w:next w:val="CommentText"/>
    <w:link w:val="CommentSubjectChar"/>
    <w:uiPriority w:val="99"/>
    <w:semiHidden/>
    <w:unhideWhenUsed/>
    <w:rsid w:val="00FA28E1"/>
    <w:rPr>
      <w:b/>
      <w:bCs/>
    </w:rPr>
  </w:style>
  <w:style w:type="character" w:customStyle="1" w:styleId="CommentSubjectChar">
    <w:name w:val="Comment Subject Char"/>
    <w:basedOn w:val="CommentTextChar"/>
    <w:link w:val="CommentSubject"/>
    <w:uiPriority w:val="99"/>
    <w:semiHidden/>
    <w:rsid w:val="00FA28E1"/>
    <w:rPr>
      <w:b/>
      <w:bCs/>
      <w:sz w:val="20"/>
      <w:szCs w:val="20"/>
    </w:rPr>
  </w:style>
  <w:style w:type="paragraph" w:styleId="BalloonText">
    <w:name w:val="Balloon Text"/>
    <w:basedOn w:val="Normal"/>
    <w:link w:val="BalloonTextChar"/>
    <w:uiPriority w:val="99"/>
    <w:semiHidden/>
    <w:unhideWhenUsed/>
    <w:rsid w:val="00FA28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8E1"/>
    <w:rPr>
      <w:rFonts w:ascii="Segoe UI" w:hAnsi="Segoe UI" w:cs="Segoe UI"/>
      <w:sz w:val="18"/>
      <w:szCs w:val="18"/>
    </w:rPr>
  </w:style>
  <w:style w:type="character" w:styleId="Hyperlink">
    <w:name w:val="Hyperlink"/>
    <w:basedOn w:val="DefaultParagraphFont"/>
    <w:uiPriority w:val="99"/>
    <w:unhideWhenUsed/>
    <w:rsid w:val="007905B4"/>
    <w:rPr>
      <w:color w:val="0563C1" w:themeColor="hyperlink"/>
      <w:u w:val="single"/>
    </w:rPr>
  </w:style>
  <w:style w:type="character" w:styleId="UnresolvedMention">
    <w:name w:val="Unresolved Mention"/>
    <w:basedOn w:val="DefaultParagraphFont"/>
    <w:uiPriority w:val="99"/>
    <w:semiHidden/>
    <w:unhideWhenUsed/>
    <w:rsid w:val="007905B4"/>
    <w:rPr>
      <w:color w:val="605E5C"/>
      <w:shd w:val="clear" w:color="auto" w:fill="E1DFDD"/>
    </w:rPr>
  </w:style>
  <w:style w:type="character" w:customStyle="1" w:styleId="Heading2Char">
    <w:name w:val="Heading 2 Char"/>
    <w:basedOn w:val="DefaultParagraphFont"/>
    <w:link w:val="Heading2"/>
    <w:uiPriority w:val="9"/>
    <w:semiHidden/>
    <w:rsid w:val="00230FA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B1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737"/>
  </w:style>
  <w:style w:type="paragraph" w:styleId="Footer">
    <w:name w:val="footer"/>
    <w:basedOn w:val="Normal"/>
    <w:link w:val="FooterChar"/>
    <w:uiPriority w:val="99"/>
    <w:unhideWhenUsed/>
    <w:rsid w:val="003A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737"/>
  </w:style>
  <w:style w:type="character" w:styleId="LineNumber">
    <w:name w:val="line number"/>
    <w:basedOn w:val="DefaultParagraphFont"/>
    <w:uiPriority w:val="99"/>
    <w:semiHidden/>
    <w:unhideWhenUsed/>
    <w:rsid w:val="00A47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66059">
      <w:bodyDiv w:val="1"/>
      <w:marLeft w:val="0"/>
      <w:marRight w:val="0"/>
      <w:marTop w:val="0"/>
      <w:marBottom w:val="0"/>
      <w:divBdr>
        <w:top w:val="none" w:sz="0" w:space="0" w:color="auto"/>
        <w:left w:val="none" w:sz="0" w:space="0" w:color="auto"/>
        <w:bottom w:val="none" w:sz="0" w:space="0" w:color="auto"/>
        <w:right w:val="none" w:sz="0" w:space="0" w:color="auto"/>
      </w:divBdr>
    </w:div>
    <w:div w:id="1017074332">
      <w:bodyDiv w:val="1"/>
      <w:marLeft w:val="0"/>
      <w:marRight w:val="0"/>
      <w:marTop w:val="0"/>
      <w:marBottom w:val="0"/>
      <w:divBdr>
        <w:top w:val="none" w:sz="0" w:space="0" w:color="auto"/>
        <w:left w:val="none" w:sz="0" w:space="0" w:color="auto"/>
        <w:bottom w:val="none" w:sz="0" w:space="0" w:color="auto"/>
        <w:right w:val="none" w:sz="0" w:space="0" w:color="auto"/>
      </w:divBdr>
    </w:div>
    <w:div w:id="112769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12742</TotalTime>
  <Pages>14</Pages>
  <Words>3662</Words>
  <Characters>20880</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Zachery Wolfe</dc:creator>
  <cp:keywords/>
  <dc:description/>
  <cp:lastModifiedBy>Zachery Wolfe</cp:lastModifiedBy>
  <cp:revision>183</cp:revision>
  <dcterms:created xsi:type="dcterms:W3CDTF">2020-04-19T16:22:00Z</dcterms:created>
  <dcterms:modified xsi:type="dcterms:W3CDTF">2020-04-28T14:31:00Z</dcterms:modified>
</cp:coreProperties>
</file>