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val="0"/>
          <w:i w:val="0"/>
          <w:sz w:val="36"/>
        </w:rPr>
        <w:t>Mini Project</w:t>
      </w:r>
    </w:p>
    <w:p>
      <w:pPr>
        <w:spacing w:after="120"/>
        <w:jc w:val="center"/>
      </w:pPr>
      <w:r>
        <w:rPr>
          <w:b/>
          <w:i w:val="0"/>
          <w:sz w:val="52"/>
        </w:rPr>
        <w:t>Case Study: Air Quality Analysis</w:t>
      </w:r>
    </w:p>
    <w:p>
      <w:pPr>
        <w:spacing w:after="120"/>
        <w:jc w:val="center"/>
      </w:pPr>
      <w:r>
        <w:rPr>
          <w:b w:val="0"/>
          <w:i w:val="0"/>
          <w:sz w:val="28"/>
        </w:rPr>
        <w:t>Air pollution across Indian cities, 2015 to 2020</w:t>
      </w:r>
    </w:p>
    <w:p>
      <w:pPr>
        <w:spacing w:after="800"/>
        <w:jc w:val="center"/>
      </w:pPr>
      <w:r>
        <w:rPr>
          <w:b w:val="0"/>
          <w:i w:val="0"/>
          <w:sz w:val="22"/>
        </w:rPr>
        <w:t>Python: Pandas, NumPy, Matplotlib, Seaborn, SciPy, scikit-learn</w:t>
      </w:r>
    </w:p>
    <w:p>
      <w:pPr>
        <w:spacing w:after="120"/>
        <w:jc w:val="center"/>
      </w:pPr>
      <w:r>
        <w:rPr>
          <w:b w:val="0"/>
          <w:i w:val="0"/>
        </w:rPr>
        <w:t>Name: ____________________________</w:t>
      </w:r>
    </w:p>
    <w:p>
      <w:pPr>
        <w:spacing w:after="120"/>
        <w:jc w:val="center"/>
      </w:pPr>
      <w:r>
        <w:rPr>
          <w:b w:val="0"/>
          <w:i w:val="0"/>
        </w:rPr>
        <w:t>Roll No.: ________________________</w:t>
      </w:r>
    </w:p>
    <w:p>
      <w:pPr>
        <w:spacing w:after="120"/>
        <w:jc w:val="center"/>
      </w:pPr>
      <w:r>
        <w:rPr>
          <w:b w:val="0"/>
          <w:i w:val="0"/>
        </w:rPr>
        <w:t>Course / Section: _________________</w:t>
      </w:r>
    </w:p>
    <w:p>
      <w:pPr>
        <w:spacing w:after="120"/>
        <w:jc w:val="center"/>
      </w:pPr>
      <w:r>
        <w:rPr>
          <w:b w:val="0"/>
          <w:i w:val="0"/>
        </w:rPr>
        <w:t>Submission date: ____________________</w:t>
      </w:r>
    </w:p>
    <w:p>
      <w:r>
        <w:br w:type="page"/>
      </w:r>
    </w:p>
    <w:p>
      <w:pPr>
        <w:pStyle w:val="Heading1"/>
      </w:pPr>
      <w:r>
        <w:t>1. Problem Statement</w:t>
      </w:r>
    </w:p>
    <w:p>
      <w:pPr>
        <w:spacing w:after="120"/>
      </w:pPr>
      <w:r>
        <w:rPr>
          <w:b w:val="0"/>
          <w:i w:val="0"/>
        </w:rPr>
        <w:t>Air pollution is a serious public-health problem in India. To reduce it, we first need to understand where and when it is worst, which pollutants drive it, and whether it is changing over time.</w:t>
      </w:r>
    </w:p>
    <w:p>
      <w:pPr>
        <w:spacing w:after="120"/>
      </w:pPr>
      <w:r>
        <w:rPr>
          <w:b w:val="0"/>
          <w:i w:val="0"/>
        </w:rPr>
        <w:t>This case study investigates: How do air pollutants vary over time and across cities? The analysis covers AQI trends, pollutant correlation and seasonal analysis. Three extra questions are also examined: did the 2020 COVID-19 lockdown change PM2.5 levels, are seasonal differences statistically significant, and can tomorrow's PM2.5 be predicted?</w:t>
      </w:r>
    </w:p>
    <w:p>
      <w:pPr>
        <w:pStyle w:val="Heading1"/>
      </w:pPr>
      <w:r>
        <w:t>2. Dataset Description</w:t>
      </w:r>
    </w:p>
    <w:p>
      <w:pPr>
        <w:spacing w:after="120"/>
      </w:pPr>
      <w:r>
        <w:rPr>
          <w:b w:val="0"/>
          <w:i w:val="0"/>
        </w:rPr>
        <w:t>Dataset: "Air Quality Data in India (2015 - 2020)" (file city_day.csv), published on Kaggle by Rohan Rao and compiled from Central Pollution Control Board (CPCB) monitoring records. It contains one row per city per day: 29,531 records and 16 columns, covering 26 cities from 2015-01-01 to 2020-07-01.</w:t>
      </w:r>
    </w:p>
    <w:tbl>
      <w:tblPr>
        <w:tblStyle w:val="TableGrid"/>
        <w:tblW w:type="auto" w:w="0"/>
        <w:jc w:val="center"/>
        <w:tblLook w:firstColumn="1" w:firstRow="1" w:lastColumn="0" w:lastRow="0" w:noHBand="0" w:noVBand="1" w:val="04A0"/>
      </w:tblPr>
      <w:tblGrid>
        <w:gridCol w:w="3106"/>
        <w:gridCol w:w="3106"/>
        <w:gridCol w:w="3106"/>
      </w:tblGrid>
      <w:tr>
        <w:tc>
          <w:tcPr>
            <w:tcW w:type="dxa" w:w="2736"/>
            <w:shd w:val="clear" w:color="auto" w:fill="D9E2F3"/>
          </w:tcPr>
          <w:p>
            <w:r/>
            <w:r>
              <w:rPr>
                <w:b/>
                <w:sz w:val="20"/>
              </w:rPr>
              <w:t>Column</w:t>
            </w:r>
          </w:p>
        </w:tc>
        <w:tc>
          <w:tcPr>
            <w:tcW w:type="dxa" w:w="1728"/>
            <w:shd w:val="clear" w:color="auto" w:fill="D9E2F3"/>
          </w:tcPr>
          <w:p>
            <w:r/>
            <w:r>
              <w:rPr>
                <w:b/>
                <w:sz w:val="20"/>
              </w:rPr>
              <w:t>Type</w:t>
            </w:r>
          </w:p>
        </w:tc>
        <w:tc>
          <w:tcPr>
            <w:tcW w:type="dxa" w:w="5040"/>
            <w:shd w:val="clear" w:color="auto" w:fill="D9E2F3"/>
          </w:tcPr>
          <w:p>
            <w:r/>
            <w:r>
              <w:rPr>
                <w:b/>
                <w:sz w:val="20"/>
              </w:rPr>
              <w:t>Description</w:t>
            </w:r>
          </w:p>
        </w:tc>
      </w:tr>
      <w:tr>
        <w:tc>
          <w:tcPr>
            <w:tcW w:type="dxa" w:w="2736"/>
          </w:tcPr>
          <w:p>
            <w:r/>
            <w:r>
              <w:rPr>
                <w:sz w:val="20"/>
              </w:rPr>
              <w:t>City, Date</w:t>
            </w:r>
          </w:p>
        </w:tc>
        <w:tc>
          <w:tcPr>
            <w:tcW w:type="dxa" w:w="1728"/>
          </w:tcPr>
          <w:p>
            <w:r/>
            <w:r>
              <w:rPr>
                <w:sz w:val="20"/>
              </w:rPr>
              <w:t>Text, Date</w:t>
            </w:r>
          </w:p>
        </w:tc>
        <w:tc>
          <w:tcPr>
            <w:tcW w:type="dxa" w:w="5040"/>
          </w:tcPr>
          <w:p>
            <w:r/>
            <w:r>
              <w:rPr>
                <w:sz w:val="20"/>
              </w:rPr>
              <w:t>Monitoring city and day</w:t>
            </w:r>
          </w:p>
        </w:tc>
      </w:tr>
      <w:tr>
        <w:tc>
          <w:tcPr>
            <w:tcW w:type="dxa" w:w="2736"/>
          </w:tcPr>
          <w:p>
            <w:r/>
            <w:r>
              <w:rPr>
                <w:sz w:val="20"/>
              </w:rPr>
              <w:t>PM2.5, PM10</w:t>
            </w:r>
          </w:p>
        </w:tc>
        <w:tc>
          <w:tcPr>
            <w:tcW w:type="dxa" w:w="1728"/>
          </w:tcPr>
          <w:p>
            <w:r/>
            <w:r>
              <w:rPr>
                <w:sz w:val="20"/>
              </w:rPr>
              <w:t>Numeric</w:t>
            </w:r>
          </w:p>
        </w:tc>
        <w:tc>
          <w:tcPr>
            <w:tcW w:type="dxa" w:w="5040"/>
          </w:tcPr>
          <w:p>
            <w:r/>
            <w:r>
              <w:rPr>
                <w:sz w:val="20"/>
              </w:rPr>
              <w:t>Fine and coarse particulate matter (µg/m³)</w:t>
            </w:r>
          </w:p>
        </w:tc>
      </w:tr>
      <w:tr>
        <w:tc>
          <w:tcPr>
            <w:tcW w:type="dxa" w:w="2736"/>
          </w:tcPr>
          <w:p>
            <w:r/>
            <w:r>
              <w:rPr>
                <w:sz w:val="20"/>
              </w:rPr>
              <w:t>NO, NO2, NOx, NH3</w:t>
            </w:r>
          </w:p>
        </w:tc>
        <w:tc>
          <w:tcPr>
            <w:tcW w:type="dxa" w:w="1728"/>
          </w:tcPr>
          <w:p>
            <w:r/>
            <w:r>
              <w:rPr>
                <w:sz w:val="20"/>
              </w:rPr>
              <w:t>Numeric</w:t>
            </w:r>
          </w:p>
        </w:tc>
        <w:tc>
          <w:tcPr>
            <w:tcW w:type="dxa" w:w="5040"/>
          </w:tcPr>
          <w:p>
            <w:r/>
            <w:r>
              <w:rPr>
                <w:sz w:val="20"/>
              </w:rPr>
              <w:t>Nitrogen compounds and ammonia (µg/m³)</w:t>
            </w:r>
          </w:p>
        </w:tc>
      </w:tr>
      <w:tr>
        <w:tc>
          <w:tcPr>
            <w:tcW w:type="dxa" w:w="2736"/>
          </w:tcPr>
          <w:p>
            <w:r/>
            <w:r>
              <w:rPr>
                <w:sz w:val="20"/>
              </w:rPr>
              <w:t>CO</w:t>
            </w:r>
          </w:p>
        </w:tc>
        <w:tc>
          <w:tcPr>
            <w:tcW w:type="dxa" w:w="1728"/>
          </w:tcPr>
          <w:p>
            <w:r/>
            <w:r>
              <w:rPr>
                <w:sz w:val="20"/>
              </w:rPr>
              <w:t>Numeric</w:t>
            </w:r>
          </w:p>
        </w:tc>
        <w:tc>
          <w:tcPr>
            <w:tcW w:type="dxa" w:w="5040"/>
          </w:tcPr>
          <w:p>
            <w:r/>
            <w:r>
              <w:rPr>
                <w:sz w:val="20"/>
              </w:rPr>
              <w:t>Carbon monoxide (mg/m³)</w:t>
            </w:r>
          </w:p>
        </w:tc>
      </w:tr>
      <w:tr>
        <w:tc>
          <w:tcPr>
            <w:tcW w:type="dxa" w:w="2736"/>
          </w:tcPr>
          <w:p>
            <w:r/>
            <w:r>
              <w:rPr>
                <w:sz w:val="20"/>
              </w:rPr>
              <w:t>SO2, O3</w:t>
            </w:r>
          </w:p>
        </w:tc>
        <w:tc>
          <w:tcPr>
            <w:tcW w:type="dxa" w:w="1728"/>
          </w:tcPr>
          <w:p>
            <w:r/>
            <w:r>
              <w:rPr>
                <w:sz w:val="20"/>
              </w:rPr>
              <w:t>Numeric</w:t>
            </w:r>
          </w:p>
        </w:tc>
        <w:tc>
          <w:tcPr>
            <w:tcW w:type="dxa" w:w="5040"/>
          </w:tcPr>
          <w:p>
            <w:r/>
            <w:r>
              <w:rPr>
                <w:sz w:val="20"/>
              </w:rPr>
              <w:t>Sulphur dioxide and ozone (µg/m³)</w:t>
            </w:r>
          </w:p>
        </w:tc>
      </w:tr>
      <w:tr>
        <w:tc>
          <w:tcPr>
            <w:tcW w:type="dxa" w:w="2736"/>
          </w:tcPr>
          <w:p>
            <w:r/>
            <w:r>
              <w:rPr>
                <w:sz w:val="20"/>
              </w:rPr>
              <w:t>Benzene, Toluene, Xylene</w:t>
            </w:r>
          </w:p>
        </w:tc>
        <w:tc>
          <w:tcPr>
            <w:tcW w:type="dxa" w:w="1728"/>
          </w:tcPr>
          <w:p>
            <w:r/>
            <w:r>
              <w:rPr>
                <w:sz w:val="20"/>
              </w:rPr>
              <w:t>Numeric</w:t>
            </w:r>
          </w:p>
        </w:tc>
        <w:tc>
          <w:tcPr>
            <w:tcW w:type="dxa" w:w="5040"/>
          </w:tcPr>
          <w:p>
            <w:r/>
            <w:r>
              <w:rPr>
                <w:sz w:val="20"/>
              </w:rPr>
              <w:t>Volatile organic compounds (µg/m³)</w:t>
            </w:r>
          </w:p>
        </w:tc>
      </w:tr>
      <w:tr>
        <w:tc>
          <w:tcPr>
            <w:tcW w:type="dxa" w:w="2736"/>
          </w:tcPr>
          <w:p>
            <w:r/>
            <w:r>
              <w:rPr>
                <w:sz w:val="20"/>
              </w:rPr>
              <w:t>AQI</w:t>
            </w:r>
          </w:p>
        </w:tc>
        <w:tc>
          <w:tcPr>
            <w:tcW w:type="dxa" w:w="1728"/>
          </w:tcPr>
          <w:p>
            <w:r/>
            <w:r>
              <w:rPr>
                <w:sz w:val="20"/>
              </w:rPr>
              <w:t>Numeric</w:t>
            </w:r>
          </w:p>
        </w:tc>
        <w:tc>
          <w:tcPr>
            <w:tcW w:type="dxa" w:w="5040"/>
          </w:tcPr>
          <w:p>
            <w:r/>
            <w:r>
              <w:rPr>
                <w:sz w:val="20"/>
              </w:rPr>
              <w:t>Air Quality Index for the day</w:t>
            </w:r>
          </w:p>
        </w:tc>
      </w:tr>
      <w:tr>
        <w:tc>
          <w:tcPr>
            <w:tcW w:type="dxa" w:w="2736"/>
          </w:tcPr>
          <w:p>
            <w:r/>
            <w:r>
              <w:rPr>
                <w:sz w:val="20"/>
              </w:rPr>
              <w:t>AQI_Bucket</w:t>
            </w:r>
          </w:p>
        </w:tc>
        <w:tc>
          <w:tcPr>
            <w:tcW w:type="dxa" w:w="1728"/>
          </w:tcPr>
          <w:p>
            <w:r/>
            <w:r>
              <w:rPr>
                <w:sz w:val="20"/>
              </w:rPr>
              <w:t>Categorical</w:t>
            </w:r>
          </w:p>
        </w:tc>
        <w:tc>
          <w:tcPr>
            <w:tcW w:type="dxa" w:w="5040"/>
          </w:tcPr>
          <w:p>
            <w:r/>
            <w:r>
              <w:rPr>
                <w:sz w:val="20"/>
              </w:rPr>
              <w:t>Good, Satisfactory, Moderate, Poor, Very Poor, Severe</w:t>
            </w:r>
          </w:p>
        </w:tc>
      </w:tr>
    </w:tbl>
    <w:p>
      <w:pPr>
        <w:spacing w:after="40"/>
      </w:pPr>
    </w:p>
    <w:p>
      <w:pPr>
        <w:spacing w:after="120"/>
      </w:pPr>
      <w:r>
        <w:rPr>
          <w:b w:val="0"/>
          <w:i w:val="0"/>
        </w:rPr>
        <w:t>Columns added during analysis: Year, Month, Season (Winter Dec-Feb, Summer Mar-May, Monsoon Jun-Sep, Post-monsoon Oct-Nov).</w:t>
      </w:r>
    </w:p>
    <w:p>
      <w:pPr>
        <w:pStyle w:val="Heading1"/>
      </w:pPr>
      <w:r>
        <w:t>3. Data Cleaning Using Pandas</w:t>
      </w:r>
    </w:p>
    <w:tbl>
      <w:tblPr>
        <w:tblStyle w:val="TableGrid"/>
        <w:tblW w:type="auto" w:w="0"/>
        <w:jc w:val="center"/>
        <w:tblLook w:firstColumn="1" w:firstRow="1" w:lastColumn="0" w:lastRow="0" w:noHBand="0" w:noVBand="1" w:val="04A0"/>
      </w:tblPr>
      <w:tblGrid>
        <w:gridCol w:w="3106"/>
        <w:gridCol w:w="3106"/>
        <w:gridCol w:w="3106"/>
      </w:tblGrid>
      <w:tr>
        <w:tc>
          <w:tcPr>
            <w:tcW w:type="dxa" w:w="2016"/>
            <w:shd w:val="clear" w:color="auto" w:fill="D9E2F3"/>
          </w:tcPr>
          <w:p>
            <w:r/>
            <w:r>
              <w:rPr>
                <w:b/>
                <w:sz w:val="20"/>
              </w:rPr>
              <w:t>Issue</w:t>
            </w:r>
          </w:p>
        </w:tc>
        <w:tc>
          <w:tcPr>
            <w:tcW w:type="dxa" w:w="3456"/>
            <w:shd w:val="clear" w:color="auto" w:fill="D9E2F3"/>
          </w:tcPr>
          <w:p>
            <w:r/>
            <w:r>
              <w:rPr>
                <w:b/>
                <w:sz w:val="20"/>
              </w:rPr>
              <w:t>Found in raw data</w:t>
            </w:r>
          </w:p>
        </w:tc>
        <w:tc>
          <w:tcPr>
            <w:tcW w:type="dxa" w:w="4032"/>
            <w:shd w:val="clear" w:color="auto" w:fill="D9E2F3"/>
          </w:tcPr>
          <w:p>
            <w:r/>
            <w:r>
              <w:rPr>
                <w:b/>
                <w:sz w:val="20"/>
              </w:rPr>
              <w:t>Fix applied</w:t>
            </w:r>
          </w:p>
        </w:tc>
      </w:tr>
      <w:tr>
        <w:tc>
          <w:tcPr>
            <w:tcW w:type="dxa" w:w="2016"/>
          </w:tcPr>
          <w:p>
            <w:r/>
            <w:r>
              <w:rPr>
                <w:sz w:val="20"/>
              </w:rPr>
              <w:t>Missing values</w:t>
            </w:r>
          </w:p>
        </w:tc>
        <w:tc>
          <w:tcPr>
            <w:tcW w:type="dxa" w:w="3456"/>
          </w:tcPr>
          <w:p>
            <w:r/>
            <w:r>
              <w:rPr>
                <w:sz w:val="20"/>
              </w:rPr>
              <w:t>Highest: Xylene 61.3%, PM10 37.7%, NH3 35.0%, Toluene 27.2%, Benzene 19.0%</w:t>
            </w:r>
          </w:p>
        </w:tc>
        <w:tc>
          <w:tcPr>
            <w:tcW w:type="dxa" w:w="4032"/>
          </w:tcPr>
          <w:p>
            <w:r/>
            <w:r>
              <w:rPr>
                <w:sz w:val="20"/>
              </w:rPr>
              <w:t>Short gaps (up to 7 days) filled by interpolation within each city (PM2.5: 737 values filled). Longer gaps left empty and ignored by each calculation.</w:t>
            </w:r>
          </w:p>
        </w:tc>
      </w:tr>
      <w:tr>
        <w:tc>
          <w:tcPr>
            <w:tcW w:type="dxa" w:w="2016"/>
          </w:tcPr>
          <w:p>
            <w:r/>
            <w:r>
              <w:rPr>
                <w:sz w:val="20"/>
              </w:rPr>
              <w:t>Duplicate records</w:t>
            </w:r>
          </w:p>
        </w:tc>
        <w:tc>
          <w:tcPr>
            <w:tcW w:type="dxa" w:w="3456"/>
          </w:tcPr>
          <w:p>
            <w:r/>
            <w:r>
              <w:rPr>
                <w:sz w:val="20"/>
              </w:rPr>
              <w:t>0 repeated city-date rows</w:t>
            </w:r>
          </w:p>
        </w:tc>
        <w:tc>
          <w:tcPr>
            <w:tcW w:type="dxa" w:w="4032"/>
          </w:tcPr>
          <w:p>
            <w:r/>
            <w:r>
              <w:rPr>
                <w:sz w:val="20"/>
              </w:rPr>
              <w:t>drop_duplicates() on City and Date</w:t>
            </w:r>
          </w:p>
        </w:tc>
      </w:tr>
      <w:tr>
        <w:tc>
          <w:tcPr>
            <w:tcW w:type="dxa" w:w="2016"/>
          </w:tcPr>
          <w:p>
            <w:r/>
            <w:r>
              <w:rPr>
                <w:sz w:val="20"/>
              </w:rPr>
              <w:t>Incorrect data types</w:t>
            </w:r>
          </w:p>
        </w:tc>
        <w:tc>
          <w:tcPr>
            <w:tcW w:type="dxa" w:w="3456"/>
          </w:tcPr>
          <w:p>
            <w:r/>
            <w:r>
              <w:rPr>
                <w:sz w:val="20"/>
              </w:rPr>
              <w:t>Date stored as text (0 unreadable dates)</w:t>
            </w:r>
          </w:p>
        </w:tc>
        <w:tc>
          <w:tcPr>
            <w:tcW w:type="dxa" w:w="4032"/>
          </w:tcPr>
          <w:p>
            <w:r/>
            <w:r>
              <w:rPr>
                <w:sz w:val="20"/>
              </w:rPr>
              <w:t>pd.to_datetime() and pd.to_numeric()</w:t>
            </w:r>
          </w:p>
        </w:tc>
      </w:tr>
      <w:tr>
        <w:tc>
          <w:tcPr>
            <w:tcW w:type="dxa" w:w="2016"/>
          </w:tcPr>
          <w:p>
            <w:r/>
            <w:r>
              <w:rPr>
                <w:sz w:val="20"/>
              </w:rPr>
              <w:t>Inconsistent values</w:t>
            </w:r>
          </w:p>
        </w:tc>
        <w:tc>
          <w:tcPr>
            <w:tcW w:type="dxa" w:w="3456"/>
          </w:tcPr>
          <w:p>
            <w:r/>
            <w:r>
              <w:rPr>
                <w:sz w:val="20"/>
              </w:rPr>
              <w:t>AQI_Bucket text with stray spaces or different capitalisation; missing buckets</w:t>
            </w:r>
          </w:p>
        </w:tc>
        <w:tc>
          <w:tcPr>
            <w:tcW w:type="dxa" w:w="4032"/>
          </w:tcPr>
          <w:p>
            <w:r/>
            <w:r>
              <w:rPr>
                <w:sz w:val="20"/>
              </w:rPr>
              <w:t>strip() and title-case; 0 missing buckets rebuilt from the AQI value using official bands</w:t>
            </w:r>
          </w:p>
        </w:tc>
      </w:tr>
      <w:tr>
        <w:tc>
          <w:tcPr>
            <w:tcW w:type="dxa" w:w="2016"/>
          </w:tcPr>
          <w:p>
            <w:r/>
            <w:r>
              <w:rPr>
                <w:sz w:val="20"/>
              </w:rPr>
              <w:t>Impossible values</w:t>
            </w:r>
          </w:p>
        </w:tc>
        <w:tc>
          <w:tcPr>
            <w:tcW w:type="dxa" w:w="3456"/>
          </w:tcPr>
          <w:p>
            <w:r/>
            <w:r>
              <w:rPr>
                <w:sz w:val="20"/>
              </w:rPr>
              <w:t>None found</w:t>
            </w:r>
          </w:p>
        </w:tc>
        <w:tc>
          <w:tcPr>
            <w:tcW w:type="dxa" w:w="4032"/>
          </w:tcPr>
          <w:p>
            <w:r/>
            <w:r>
              <w:rPr>
                <w:sz w:val="20"/>
              </w:rPr>
              <w:t>Negative readings set to missing. High spikes were kept because they are real pollution events.</w:t>
            </w:r>
          </w:p>
        </w:tc>
      </w:tr>
    </w:tbl>
    <w:p>
      <w:pPr>
        <w:spacing w:after="40"/>
      </w:pPr>
    </w:p>
    <w:p>
      <w:pPr>
        <w:spacing w:after="120"/>
      </w:pPr>
      <w:r>
        <w:rPr>
          <w:b w:val="0"/>
          <w:i w:val="0"/>
        </w:rPr>
        <w:t>After cleaning: 29,531 rows. The cleaned file is saved as data/city_day_clean.csv.</w:t>
      </w:r>
    </w:p>
    <w:p>
      <w:pPr>
        <w:spacing w:after="120"/>
      </w:pPr>
      <w:r>
        <w:rPr>
          <w:b/>
          <w:i w:val="0"/>
        </w:rPr>
        <w:t>Code excerpt:</w:t>
      </w:r>
    </w:p>
    <w:p>
      <w:pPr>
        <w:spacing w:after="0"/>
      </w:pPr>
      <w:r>
        <w:rPr>
          <w:rFonts w:ascii="Consolas" w:hAnsi="Consolas"/>
          <w:sz w:val="18"/>
        </w:rPr>
        <w:t>df["Date"] = pd.to_datetime(df["Date"], errors="coerce")</w:t>
      </w:r>
    </w:p>
    <w:p>
      <w:pPr>
        <w:spacing w:after="0"/>
      </w:pPr>
      <w:r>
        <w:rPr>
          <w:rFonts w:ascii="Consolas" w:hAnsi="Consolas"/>
          <w:sz w:val="18"/>
        </w:rPr>
        <w:t>df = df.drop_duplicates(subset=["City", "Date"])</w:t>
      </w:r>
    </w:p>
    <w:p>
      <w:pPr>
        <w:spacing w:after="0"/>
      </w:pPr>
      <w:r>
        <w:rPr>
          <w:rFonts w:ascii="Consolas" w:hAnsi="Consolas"/>
          <w:sz w:val="18"/>
        </w:rPr>
        <w:t>df.loc[df[c] &lt; 0, c] = np.nan</w:t>
      </w:r>
    </w:p>
    <w:p>
      <w:pPr>
        <w:spacing w:after="0"/>
      </w:pPr>
      <w:r>
        <w:rPr>
          <w:rFonts w:ascii="Consolas" w:hAnsi="Consolas"/>
          <w:sz w:val="18"/>
        </w:rPr>
        <w:t>df[c] = df.groupby("City")[c].transform(lambda s: s.interpolate(limit=7, limit_area="inside"))</w:t>
      </w:r>
    </w:p>
    <w:p/>
    <w:p>
      <w:pPr>
        <w:pStyle w:val="Heading1"/>
      </w:pPr>
      <w:r>
        <w:t>4. Data Analysis Using NumPy &amp; Pandas</w:t>
      </w:r>
    </w:p>
    <w:p>
      <w:pPr>
        <w:pStyle w:val="Heading2"/>
      </w:pPr>
      <w:r>
        <w:t>4.1 Mean, median and standard deviation</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3168"/>
            <w:shd w:val="clear" w:color="auto" w:fill="D9E2F3"/>
          </w:tcPr>
          <w:p>
            <w:r/>
            <w:r>
              <w:rPr>
                <w:b/>
                <w:sz w:val="20"/>
              </w:rPr>
              <w:t>Variable</w:t>
            </w:r>
          </w:p>
        </w:tc>
        <w:tc>
          <w:tcPr>
            <w:tcW w:type="dxa" w:w="2016"/>
            <w:shd w:val="clear" w:color="auto" w:fill="D9E2F3"/>
          </w:tcPr>
          <w:p>
            <w:r/>
            <w:r>
              <w:rPr>
                <w:b/>
                <w:sz w:val="20"/>
              </w:rPr>
              <w:t>Mean</w:t>
            </w:r>
          </w:p>
        </w:tc>
        <w:tc>
          <w:tcPr>
            <w:tcW w:type="dxa" w:w="2016"/>
            <w:shd w:val="clear" w:color="auto" w:fill="D9E2F3"/>
          </w:tcPr>
          <w:p>
            <w:r/>
            <w:r>
              <w:rPr>
                <w:b/>
                <w:sz w:val="20"/>
              </w:rPr>
              <w:t>Median</w:t>
            </w:r>
          </w:p>
        </w:tc>
        <w:tc>
          <w:tcPr>
            <w:tcW w:type="dxa" w:w="2304"/>
            <w:shd w:val="clear" w:color="auto" w:fill="D9E2F3"/>
          </w:tcPr>
          <w:p>
            <w:r/>
            <w:r>
              <w:rPr>
                <w:b/>
                <w:sz w:val="20"/>
              </w:rPr>
              <w:t>Std. dev.</w:t>
            </w:r>
          </w:p>
        </w:tc>
      </w:tr>
      <w:tr>
        <w:tc>
          <w:tcPr>
            <w:tcW w:type="dxa" w:w="3168"/>
          </w:tcPr>
          <w:p>
            <w:r/>
            <w:r>
              <w:rPr>
                <w:sz w:val="20"/>
              </w:rPr>
              <w:t>PM2.5</w:t>
            </w:r>
          </w:p>
        </w:tc>
        <w:tc>
          <w:tcPr>
            <w:tcW w:type="dxa" w:w="2016"/>
          </w:tcPr>
          <w:p>
            <w:r/>
            <w:r>
              <w:rPr>
                <w:sz w:val="20"/>
              </w:rPr>
              <w:t>67.35</w:t>
            </w:r>
          </w:p>
        </w:tc>
        <w:tc>
          <w:tcPr>
            <w:tcW w:type="dxa" w:w="2016"/>
          </w:tcPr>
          <w:p>
            <w:r/>
            <w:r>
              <w:rPr>
                <w:sz w:val="20"/>
              </w:rPr>
              <w:t>48.34</w:t>
            </w:r>
          </w:p>
        </w:tc>
        <w:tc>
          <w:tcPr>
            <w:tcW w:type="dxa" w:w="2304"/>
          </w:tcPr>
          <w:p>
            <w:r/>
            <w:r>
              <w:rPr>
                <w:sz w:val="20"/>
              </w:rPr>
              <w:t>65.16</w:t>
            </w:r>
          </w:p>
        </w:tc>
      </w:tr>
      <w:tr>
        <w:tc>
          <w:tcPr>
            <w:tcW w:type="dxa" w:w="3168"/>
          </w:tcPr>
          <w:p>
            <w:r/>
            <w:r>
              <w:rPr>
                <w:sz w:val="20"/>
              </w:rPr>
              <w:t>PM10</w:t>
            </w:r>
          </w:p>
        </w:tc>
        <w:tc>
          <w:tcPr>
            <w:tcW w:type="dxa" w:w="2016"/>
          </w:tcPr>
          <w:p>
            <w:r/>
            <w:r>
              <w:rPr>
                <w:sz w:val="20"/>
              </w:rPr>
              <w:t>118.37</w:t>
            </w:r>
          </w:p>
        </w:tc>
        <w:tc>
          <w:tcPr>
            <w:tcW w:type="dxa" w:w="2016"/>
          </w:tcPr>
          <w:p>
            <w:r/>
            <w:r>
              <w:rPr>
                <w:sz w:val="20"/>
              </w:rPr>
              <w:t>95.63</w:t>
            </w:r>
          </w:p>
        </w:tc>
        <w:tc>
          <w:tcPr>
            <w:tcW w:type="dxa" w:w="2304"/>
          </w:tcPr>
          <w:p>
            <w:r/>
            <w:r>
              <w:rPr>
                <w:sz w:val="20"/>
              </w:rPr>
              <w:t>91.44</w:t>
            </w:r>
          </w:p>
        </w:tc>
      </w:tr>
      <w:tr>
        <w:tc>
          <w:tcPr>
            <w:tcW w:type="dxa" w:w="3168"/>
          </w:tcPr>
          <w:p>
            <w:r/>
            <w:r>
              <w:rPr>
                <w:sz w:val="20"/>
              </w:rPr>
              <w:t>NO2</w:t>
            </w:r>
          </w:p>
        </w:tc>
        <w:tc>
          <w:tcPr>
            <w:tcW w:type="dxa" w:w="2016"/>
          </w:tcPr>
          <w:p>
            <w:r/>
            <w:r>
              <w:rPr>
                <w:sz w:val="20"/>
              </w:rPr>
              <w:t>28.22</w:t>
            </w:r>
          </w:p>
        </w:tc>
        <w:tc>
          <w:tcPr>
            <w:tcW w:type="dxa" w:w="2016"/>
          </w:tcPr>
          <w:p>
            <w:r/>
            <w:r>
              <w:rPr>
                <w:sz w:val="20"/>
              </w:rPr>
              <w:t>21.35</w:t>
            </w:r>
          </w:p>
        </w:tc>
        <w:tc>
          <w:tcPr>
            <w:tcW w:type="dxa" w:w="2304"/>
          </w:tcPr>
          <w:p>
            <w:r/>
            <w:r>
              <w:rPr>
                <w:sz w:val="20"/>
              </w:rPr>
              <w:t>24.39</w:t>
            </w:r>
          </w:p>
        </w:tc>
      </w:tr>
      <w:tr>
        <w:tc>
          <w:tcPr>
            <w:tcW w:type="dxa" w:w="3168"/>
          </w:tcPr>
          <w:p>
            <w:r/>
            <w:r>
              <w:rPr>
                <w:sz w:val="20"/>
              </w:rPr>
              <w:t>SO2</w:t>
            </w:r>
          </w:p>
        </w:tc>
        <w:tc>
          <w:tcPr>
            <w:tcW w:type="dxa" w:w="2016"/>
          </w:tcPr>
          <w:p>
            <w:r/>
            <w:r>
              <w:rPr>
                <w:sz w:val="20"/>
              </w:rPr>
              <w:t>15.0</w:t>
            </w:r>
          </w:p>
        </w:tc>
        <w:tc>
          <w:tcPr>
            <w:tcW w:type="dxa" w:w="2016"/>
          </w:tcPr>
          <w:p>
            <w:r/>
            <w:r>
              <w:rPr>
                <w:sz w:val="20"/>
              </w:rPr>
              <w:t>9.21</w:t>
            </w:r>
          </w:p>
        </w:tc>
        <w:tc>
          <w:tcPr>
            <w:tcW w:type="dxa" w:w="2304"/>
          </w:tcPr>
          <w:p>
            <w:r/>
            <w:r>
              <w:rPr>
                <w:sz w:val="20"/>
              </w:rPr>
              <w:t>19.24</w:t>
            </w:r>
          </w:p>
        </w:tc>
      </w:tr>
      <w:tr>
        <w:tc>
          <w:tcPr>
            <w:tcW w:type="dxa" w:w="3168"/>
          </w:tcPr>
          <w:p>
            <w:r/>
            <w:r>
              <w:rPr>
                <w:sz w:val="20"/>
              </w:rPr>
              <w:t>CO</w:t>
            </w:r>
          </w:p>
        </w:tc>
        <w:tc>
          <w:tcPr>
            <w:tcW w:type="dxa" w:w="2016"/>
          </w:tcPr>
          <w:p>
            <w:r/>
            <w:r>
              <w:rPr>
                <w:sz w:val="20"/>
              </w:rPr>
              <w:t>2.23</w:t>
            </w:r>
          </w:p>
        </w:tc>
        <w:tc>
          <w:tcPr>
            <w:tcW w:type="dxa" w:w="2016"/>
          </w:tcPr>
          <w:p>
            <w:r/>
            <w:r>
              <w:rPr>
                <w:sz w:val="20"/>
              </w:rPr>
              <w:t>0.89</w:t>
            </w:r>
          </w:p>
        </w:tc>
        <w:tc>
          <w:tcPr>
            <w:tcW w:type="dxa" w:w="2304"/>
          </w:tcPr>
          <w:p>
            <w:r/>
            <w:r>
              <w:rPr>
                <w:sz w:val="20"/>
              </w:rPr>
              <w:t>6.91</w:t>
            </w:r>
          </w:p>
        </w:tc>
      </w:tr>
      <w:tr>
        <w:tc>
          <w:tcPr>
            <w:tcW w:type="dxa" w:w="3168"/>
          </w:tcPr>
          <w:p>
            <w:r/>
            <w:r>
              <w:rPr>
                <w:sz w:val="20"/>
              </w:rPr>
              <w:t>O3</w:t>
            </w:r>
          </w:p>
        </w:tc>
        <w:tc>
          <w:tcPr>
            <w:tcW w:type="dxa" w:w="2016"/>
          </w:tcPr>
          <w:p>
            <w:r/>
            <w:r>
              <w:rPr>
                <w:sz w:val="20"/>
              </w:rPr>
              <w:t>34.3</w:t>
            </w:r>
          </w:p>
        </w:tc>
        <w:tc>
          <w:tcPr>
            <w:tcW w:type="dxa" w:w="2016"/>
          </w:tcPr>
          <w:p>
            <w:r/>
            <w:r>
              <w:rPr>
                <w:sz w:val="20"/>
              </w:rPr>
              <w:t>30.61</w:t>
            </w:r>
          </w:p>
        </w:tc>
        <w:tc>
          <w:tcPr>
            <w:tcW w:type="dxa" w:w="2304"/>
          </w:tcPr>
          <w:p>
            <w:r/>
            <w:r>
              <w:rPr>
                <w:sz w:val="20"/>
              </w:rPr>
              <w:t>21.74</w:t>
            </w:r>
          </w:p>
        </w:tc>
      </w:tr>
      <w:tr>
        <w:tc>
          <w:tcPr>
            <w:tcW w:type="dxa" w:w="3168"/>
          </w:tcPr>
          <w:p>
            <w:r/>
            <w:r>
              <w:rPr>
                <w:sz w:val="20"/>
              </w:rPr>
              <w:t>AQI</w:t>
            </w:r>
          </w:p>
        </w:tc>
        <w:tc>
          <w:tcPr>
            <w:tcW w:type="dxa" w:w="2016"/>
          </w:tcPr>
          <w:p>
            <w:r/>
            <w:r>
              <w:rPr>
                <w:sz w:val="20"/>
              </w:rPr>
              <w:t>166.46</w:t>
            </w:r>
          </w:p>
        </w:tc>
        <w:tc>
          <w:tcPr>
            <w:tcW w:type="dxa" w:w="2016"/>
          </w:tcPr>
          <w:p>
            <w:r/>
            <w:r>
              <w:rPr>
                <w:sz w:val="20"/>
              </w:rPr>
              <w:t>118.0</w:t>
            </w:r>
          </w:p>
        </w:tc>
        <w:tc>
          <w:tcPr>
            <w:tcW w:type="dxa" w:w="2304"/>
          </w:tcPr>
          <w:p>
            <w:r/>
            <w:r>
              <w:rPr>
                <w:sz w:val="20"/>
              </w:rPr>
              <w:t>140.7</w:t>
            </w:r>
          </w:p>
        </w:tc>
      </w:tr>
    </w:tbl>
    <w:p>
      <w:pPr>
        <w:spacing w:after="40"/>
      </w:pPr>
    </w:p>
    <w:p>
      <w:pPr>
        <w:spacing w:after="120"/>
      </w:pPr>
      <w:r>
        <w:rPr>
          <w:b w:val="0"/>
          <w:i w:val="0"/>
        </w:rPr>
        <w:t>Using NumPy directly, mean PM2.5 is 67.35 µg/m³ with a standard deviation of 65.16. The standard deviation is large compared with the mean, which shows that pollution levels swing widely from day to day.</w:t>
      </w:r>
    </w:p>
    <w:p>
      <w:pPr>
        <w:pStyle w:val="Heading2"/>
      </w:pPr>
      <w:r>
        <w:t>4.2 Grouping and aggregation</w:t>
      </w:r>
    </w:p>
    <w:p>
      <w:pPr>
        <w:spacing w:after="120"/>
      </w:pPr>
      <w:r>
        <w:rPr>
          <w:b w:val="0"/>
          <w:i w:val="0"/>
        </w:rPr>
        <w:t>Cities with at least a year of AQI records were ranked by mean AQI (19 cities qualify). The ten highest:</w:t>
      </w:r>
    </w:p>
    <w:tbl>
      <w:tblPr>
        <w:tblStyle w:val="TableGrid"/>
        <w:tblW w:type="auto" w:w="0"/>
        <w:jc w:val="center"/>
        <w:tblLook w:firstColumn="1" w:firstRow="1" w:lastColumn="0" w:lastRow="0" w:noHBand="0" w:noVBand="1" w:val="04A0"/>
      </w:tblPr>
      <w:tblGrid>
        <w:gridCol w:w="3106"/>
        <w:gridCol w:w="3106"/>
        <w:gridCol w:w="3106"/>
      </w:tblGrid>
      <w:tr>
        <w:tc>
          <w:tcPr>
            <w:tcW w:type="dxa" w:w="3600"/>
            <w:shd w:val="clear" w:color="auto" w:fill="D9E2F3"/>
          </w:tcPr>
          <w:p>
            <w:r/>
            <w:r>
              <w:rPr>
                <w:b/>
                <w:sz w:val="20"/>
              </w:rPr>
              <w:t>City</w:t>
            </w:r>
          </w:p>
        </w:tc>
        <w:tc>
          <w:tcPr>
            <w:tcW w:type="dxa" w:w="2304"/>
            <w:shd w:val="clear" w:color="auto" w:fill="D9E2F3"/>
          </w:tcPr>
          <w:p>
            <w:r/>
            <w:r>
              <w:rPr>
                <w:b/>
                <w:sz w:val="20"/>
              </w:rPr>
              <w:t>Mean AQI</w:t>
            </w:r>
          </w:p>
        </w:tc>
        <w:tc>
          <w:tcPr>
            <w:tcW w:type="dxa" w:w="2592"/>
            <w:shd w:val="clear" w:color="auto" w:fill="D9E2F3"/>
          </w:tcPr>
          <w:p>
            <w:r/>
            <w:r>
              <w:rPr>
                <w:b/>
                <w:sz w:val="20"/>
              </w:rPr>
              <w:t>Days of data</w:t>
            </w:r>
          </w:p>
        </w:tc>
      </w:tr>
      <w:tr>
        <w:tc>
          <w:tcPr>
            <w:tcW w:type="dxa" w:w="3600"/>
          </w:tcPr>
          <w:p>
            <w:r/>
            <w:r>
              <w:rPr>
                <w:sz w:val="20"/>
              </w:rPr>
              <w:t>Ahmedabad</w:t>
            </w:r>
          </w:p>
        </w:tc>
        <w:tc>
          <w:tcPr>
            <w:tcW w:type="dxa" w:w="2304"/>
          </w:tcPr>
          <w:p>
            <w:r/>
            <w:r>
              <w:rPr>
                <w:sz w:val="20"/>
              </w:rPr>
              <w:t>452.1</w:t>
            </w:r>
          </w:p>
        </w:tc>
        <w:tc>
          <w:tcPr>
            <w:tcW w:type="dxa" w:w="2592"/>
          </w:tcPr>
          <w:p>
            <w:r/>
            <w:r>
              <w:rPr>
                <w:sz w:val="20"/>
              </w:rPr>
              <w:t>1,334</w:t>
            </w:r>
          </w:p>
        </w:tc>
      </w:tr>
      <w:tr>
        <w:tc>
          <w:tcPr>
            <w:tcW w:type="dxa" w:w="3600"/>
          </w:tcPr>
          <w:p>
            <w:r/>
            <w:r>
              <w:rPr>
                <w:sz w:val="20"/>
              </w:rPr>
              <w:t>Delhi</w:t>
            </w:r>
          </w:p>
        </w:tc>
        <w:tc>
          <w:tcPr>
            <w:tcW w:type="dxa" w:w="2304"/>
          </w:tcPr>
          <w:p>
            <w:r/>
            <w:r>
              <w:rPr>
                <w:sz w:val="20"/>
              </w:rPr>
              <w:t>259.5</w:t>
            </w:r>
          </w:p>
        </w:tc>
        <w:tc>
          <w:tcPr>
            <w:tcW w:type="dxa" w:w="2592"/>
          </w:tcPr>
          <w:p>
            <w:r/>
            <w:r>
              <w:rPr>
                <w:sz w:val="20"/>
              </w:rPr>
              <w:t>1,999</w:t>
            </w:r>
          </w:p>
        </w:tc>
      </w:tr>
      <w:tr>
        <w:tc>
          <w:tcPr>
            <w:tcW w:type="dxa" w:w="3600"/>
          </w:tcPr>
          <w:p>
            <w:r/>
            <w:r>
              <w:rPr>
                <w:sz w:val="20"/>
              </w:rPr>
              <w:t>Patna</w:t>
            </w:r>
          </w:p>
        </w:tc>
        <w:tc>
          <w:tcPr>
            <w:tcW w:type="dxa" w:w="2304"/>
          </w:tcPr>
          <w:p>
            <w:r/>
            <w:r>
              <w:rPr>
                <w:sz w:val="20"/>
              </w:rPr>
              <w:t>240.8</w:t>
            </w:r>
          </w:p>
        </w:tc>
        <w:tc>
          <w:tcPr>
            <w:tcW w:type="dxa" w:w="2592"/>
          </w:tcPr>
          <w:p>
            <w:r/>
            <w:r>
              <w:rPr>
                <w:sz w:val="20"/>
              </w:rPr>
              <w:t>1,459</w:t>
            </w:r>
          </w:p>
        </w:tc>
      </w:tr>
      <w:tr>
        <w:tc>
          <w:tcPr>
            <w:tcW w:type="dxa" w:w="3600"/>
          </w:tcPr>
          <w:p>
            <w:r/>
            <w:r>
              <w:rPr>
                <w:sz w:val="20"/>
              </w:rPr>
              <w:t>Gurugram</w:t>
            </w:r>
          </w:p>
        </w:tc>
        <w:tc>
          <w:tcPr>
            <w:tcW w:type="dxa" w:w="2304"/>
          </w:tcPr>
          <w:p>
            <w:r/>
            <w:r>
              <w:rPr>
                <w:sz w:val="20"/>
              </w:rPr>
              <w:t>225.1</w:t>
            </w:r>
          </w:p>
        </w:tc>
        <w:tc>
          <w:tcPr>
            <w:tcW w:type="dxa" w:w="2592"/>
          </w:tcPr>
          <w:p>
            <w:r/>
            <w:r>
              <w:rPr>
                <w:sz w:val="20"/>
              </w:rPr>
              <w:t>1,453</w:t>
            </w:r>
          </w:p>
        </w:tc>
      </w:tr>
      <w:tr>
        <w:tc>
          <w:tcPr>
            <w:tcW w:type="dxa" w:w="3600"/>
          </w:tcPr>
          <w:p>
            <w:r/>
            <w:r>
              <w:rPr>
                <w:sz w:val="20"/>
              </w:rPr>
              <w:t>Lucknow</w:t>
            </w:r>
          </w:p>
        </w:tc>
        <w:tc>
          <w:tcPr>
            <w:tcW w:type="dxa" w:w="2304"/>
          </w:tcPr>
          <w:p>
            <w:r/>
            <w:r>
              <w:rPr>
                <w:sz w:val="20"/>
              </w:rPr>
              <w:t>218.0</w:t>
            </w:r>
          </w:p>
        </w:tc>
        <w:tc>
          <w:tcPr>
            <w:tcW w:type="dxa" w:w="2592"/>
          </w:tcPr>
          <w:p>
            <w:r/>
            <w:r>
              <w:rPr>
                <w:sz w:val="20"/>
              </w:rPr>
              <w:t>1,893</w:t>
            </w:r>
          </w:p>
        </w:tc>
      </w:tr>
      <w:tr>
        <w:tc>
          <w:tcPr>
            <w:tcW w:type="dxa" w:w="3600"/>
          </w:tcPr>
          <w:p>
            <w:r/>
            <w:r>
              <w:rPr>
                <w:sz w:val="20"/>
              </w:rPr>
              <w:t>Talcher</w:t>
            </w:r>
          </w:p>
        </w:tc>
        <w:tc>
          <w:tcPr>
            <w:tcW w:type="dxa" w:w="2304"/>
          </w:tcPr>
          <w:p>
            <w:r/>
            <w:r>
              <w:rPr>
                <w:sz w:val="20"/>
              </w:rPr>
              <w:t>172.9</w:t>
            </w:r>
          </w:p>
        </w:tc>
        <w:tc>
          <w:tcPr>
            <w:tcW w:type="dxa" w:w="2592"/>
          </w:tcPr>
          <w:p>
            <w:r/>
            <w:r>
              <w:rPr>
                <w:sz w:val="20"/>
              </w:rPr>
              <w:t>698</w:t>
            </w:r>
          </w:p>
        </w:tc>
      </w:tr>
      <w:tr>
        <w:tc>
          <w:tcPr>
            <w:tcW w:type="dxa" w:w="3600"/>
          </w:tcPr>
          <w:p>
            <w:r/>
            <w:r>
              <w:rPr>
                <w:sz w:val="20"/>
              </w:rPr>
              <w:t>Jorapokhar</w:t>
            </w:r>
          </w:p>
        </w:tc>
        <w:tc>
          <w:tcPr>
            <w:tcW w:type="dxa" w:w="2304"/>
          </w:tcPr>
          <w:p>
            <w:r/>
            <w:r>
              <w:rPr>
                <w:sz w:val="20"/>
              </w:rPr>
              <w:t>159.3</w:t>
            </w:r>
          </w:p>
        </w:tc>
        <w:tc>
          <w:tcPr>
            <w:tcW w:type="dxa" w:w="2592"/>
          </w:tcPr>
          <w:p>
            <w:r/>
            <w:r>
              <w:rPr>
                <w:sz w:val="20"/>
              </w:rPr>
              <w:t>771</w:t>
            </w:r>
          </w:p>
        </w:tc>
      </w:tr>
      <w:tr>
        <w:tc>
          <w:tcPr>
            <w:tcW w:type="dxa" w:w="3600"/>
          </w:tcPr>
          <w:p>
            <w:r/>
            <w:r>
              <w:rPr>
                <w:sz w:val="20"/>
              </w:rPr>
              <w:t>Brajrajnagar</w:t>
            </w:r>
          </w:p>
        </w:tc>
        <w:tc>
          <w:tcPr>
            <w:tcW w:type="dxa" w:w="2304"/>
          </w:tcPr>
          <w:p>
            <w:r/>
            <w:r>
              <w:rPr>
                <w:sz w:val="20"/>
              </w:rPr>
              <w:t>150.3</w:t>
            </w:r>
          </w:p>
        </w:tc>
        <w:tc>
          <w:tcPr>
            <w:tcW w:type="dxa" w:w="2592"/>
          </w:tcPr>
          <w:p>
            <w:r/>
            <w:r>
              <w:rPr>
                <w:sz w:val="20"/>
              </w:rPr>
              <w:t>713</w:t>
            </w:r>
          </w:p>
        </w:tc>
      </w:tr>
      <w:tr>
        <w:tc>
          <w:tcPr>
            <w:tcW w:type="dxa" w:w="3600"/>
          </w:tcPr>
          <w:p>
            <w:r/>
            <w:r>
              <w:rPr>
                <w:sz w:val="20"/>
              </w:rPr>
              <w:t>Kolkata</w:t>
            </w:r>
          </w:p>
        </w:tc>
        <w:tc>
          <w:tcPr>
            <w:tcW w:type="dxa" w:w="2304"/>
          </w:tcPr>
          <w:p>
            <w:r/>
            <w:r>
              <w:rPr>
                <w:sz w:val="20"/>
              </w:rPr>
              <w:t>140.6</w:t>
            </w:r>
          </w:p>
        </w:tc>
        <w:tc>
          <w:tcPr>
            <w:tcW w:type="dxa" w:w="2592"/>
          </w:tcPr>
          <w:p>
            <w:r/>
            <w:r>
              <w:rPr>
                <w:sz w:val="20"/>
              </w:rPr>
              <w:t>754</w:t>
            </w:r>
          </w:p>
        </w:tc>
      </w:tr>
      <w:tr>
        <w:tc>
          <w:tcPr>
            <w:tcW w:type="dxa" w:w="3600"/>
          </w:tcPr>
          <w:p>
            <w:r/>
            <w:r>
              <w:rPr>
                <w:sz w:val="20"/>
              </w:rPr>
              <w:t>Guwahati</w:t>
            </w:r>
          </w:p>
        </w:tc>
        <w:tc>
          <w:tcPr>
            <w:tcW w:type="dxa" w:w="2304"/>
          </w:tcPr>
          <w:p>
            <w:r/>
            <w:r>
              <w:rPr>
                <w:sz w:val="20"/>
              </w:rPr>
              <w:t>140.1</w:t>
            </w:r>
          </w:p>
        </w:tc>
        <w:tc>
          <w:tcPr>
            <w:tcW w:type="dxa" w:w="2592"/>
          </w:tcPr>
          <w:p>
            <w:r/>
            <w:r>
              <w:rPr>
                <w:sz w:val="20"/>
              </w:rPr>
              <w:t>495</w:t>
            </w:r>
          </w:p>
        </w:tc>
      </w:tr>
    </w:tbl>
    <w:p>
      <w:pPr>
        <w:spacing w:after="40"/>
      </w:pPr>
    </w:p>
    <w:p>
      <w:pPr>
        <w:spacing w:after="120"/>
      </w:pPr>
      <w:r>
        <w:rPr>
          <w:b w:val="0"/>
          <w:i w:val="0"/>
        </w:rPr>
        <w:t>Mean PM2.5 by season:</w:t>
      </w:r>
    </w:p>
    <w:tbl>
      <w:tblPr>
        <w:tblStyle w:val="TableGrid"/>
        <w:tblW w:type="auto" w:w="0"/>
        <w:jc w:val="center"/>
        <w:tblLook w:firstColumn="1" w:firstRow="1" w:lastColumn="0" w:lastRow="0" w:noHBand="0" w:noVBand="1" w:val="04A0"/>
      </w:tblPr>
      <w:tblGrid>
        <w:gridCol w:w="3106"/>
        <w:gridCol w:w="3106"/>
        <w:gridCol w:w="3106"/>
      </w:tblGrid>
      <w:tr>
        <w:tc>
          <w:tcPr>
            <w:tcW w:type="dxa" w:w="3600"/>
            <w:shd w:val="clear" w:color="auto" w:fill="D9E2F3"/>
          </w:tcPr>
          <w:p>
            <w:r/>
            <w:r>
              <w:rPr>
                <w:b/>
                <w:sz w:val="20"/>
              </w:rPr>
              <w:t>Season</w:t>
            </w:r>
          </w:p>
        </w:tc>
        <w:tc>
          <w:tcPr>
            <w:tcW w:type="dxa" w:w="2304"/>
            <w:shd w:val="clear" w:color="auto" w:fill="D9E2F3"/>
          </w:tcPr>
          <w:p>
            <w:r/>
            <w:r>
              <w:rPr>
                <w:b/>
                <w:sz w:val="20"/>
              </w:rPr>
              <w:t>Mean PM2.5</w:t>
            </w:r>
          </w:p>
        </w:tc>
        <w:tc>
          <w:tcPr>
            <w:tcW w:type="dxa" w:w="2592"/>
            <w:shd w:val="clear" w:color="auto" w:fill="D9E2F3"/>
          </w:tcPr>
          <w:p>
            <w:r/>
            <w:r>
              <w:rPr>
                <w:b/>
                <w:sz w:val="20"/>
              </w:rPr>
              <w:t>Median PM2.5</w:t>
            </w:r>
          </w:p>
        </w:tc>
      </w:tr>
      <w:tr>
        <w:tc>
          <w:tcPr>
            <w:tcW w:type="dxa" w:w="3600"/>
          </w:tcPr>
          <w:p>
            <w:r/>
            <w:r>
              <w:rPr>
                <w:sz w:val="20"/>
              </w:rPr>
              <w:t>Winter</w:t>
            </w:r>
          </w:p>
        </w:tc>
        <w:tc>
          <w:tcPr>
            <w:tcW w:type="dxa" w:w="2304"/>
          </w:tcPr>
          <w:p>
            <w:r/>
            <w:r>
              <w:rPr>
                <w:sz w:val="20"/>
              </w:rPr>
              <w:t>100.1</w:t>
            </w:r>
          </w:p>
        </w:tc>
        <w:tc>
          <w:tcPr>
            <w:tcW w:type="dxa" w:w="2592"/>
          </w:tcPr>
          <w:p>
            <w:r/>
            <w:r>
              <w:rPr>
                <w:sz w:val="20"/>
              </w:rPr>
              <w:t>74.6</w:t>
            </w:r>
          </w:p>
        </w:tc>
      </w:tr>
      <w:tr>
        <w:tc>
          <w:tcPr>
            <w:tcW w:type="dxa" w:w="3600"/>
          </w:tcPr>
          <w:p>
            <w:r/>
            <w:r>
              <w:rPr>
                <w:sz w:val="20"/>
              </w:rPr>
              <w:t>Summer</w:t>
            </w:r>
          </w:p>
        </w:tc>
        <w:tc>
          <w:tcPr>
            <w:tcW w:type="dxa" w:w="2304"/>
          </w:tcPr>
          <w:p>
            <w:r/>
            <w:r>
              <w:rPr>
                <w:sz w:val="20"/>
              </w:rPr>
              <w:t>56.6</w:t>
            </w:r>
          </w:p>
        </w:tc>
        <w:tc>
          <w:tcPr>
            <w:tcW w:type="dxa" w:w="2592"/>
          </w:tcPr>
          <w:p>
            <w:r/>
            <w:r>
              <w:rPr>
                <w:sz w:val="20"/>
              </w:rPr>
              <w:t>44.3</w:t>
            </w:r>
          </w:p>
        </w:tc>
      </w:tr>
      <w:tr>
        <w:tc>
          <w:tcPr>
            <w:tcW w:type="dxa" w:w="3600"/>
          </w:tcPr>
          <w:p>
            <w:r/>
            <w:r>
              <w:rPr>
                <w:sz w:val="20"/>
              </w:rPr>
              <w:t>Monsoon</w:t>
            </w:r>
          </w:p>
        </w:tc>
        <w:tc>
          <w:tcPr>
            <w:tcW w:type="dxa" w:w="2304"/>
          </w:tcPr>
          <w:p>
            <w:r/>
            <w:r>
              <w:rPr>
                <w:sz w:val="20"/>
              </w:rPr>
              <w:t>38.7</w:t>
            </w:r>
          </w:p>
        </w:tc>
        <w:tc>
          <w:tcPr>
            <w:tcW w:type="dxa" w:w="2592"/>
          </w:tcPr>
          <w:p>
            <w:r/>
            <w:r>
              <w:rPr>
                <w:sz w:val="20"/>
              </w:rPr>
              <w:t>30.9</w:t>
            </w:r>
          </w:p>
        </w:tc>
      </w:tr>
      <w:tr>
        <w:tc>
          <w:tcPr>
            <w:tcW w:type="dxa" w:w="3600"/>
          </w:tcPr>
          <w:p>
            <w:r/>
            <w:r>
              <w:rPr>
                <w:sz w:val="20"/>
              </w:rPr>
              <w:t>Post-monsoon</w:t>
            </w:r>
          </w:p>
        </w:tc>
        <w:tc>
          <w:tcPr>
            <w:tcW w:type="dxa" w:w="2304"/>
          </w:tcPr>
          <w:p>
            <w:r/>
            <w:r>
              <w:rPr>
                <w:sz w:val="20"/>
              </w:rPr>
              <w:t>91.7</w:t>
            </w:r>
          </w:p>
        </w:tc>
        <w:tc>
          <w:tcPr>
            <w:tcW w:type="dxa" w:w="2592"/>
          </w:tcPr>
          <w:p>
            <w:r/>
            <w:r>
              <w:rPr>
                <w:sz w:val="20"/>
              </w:rPr>
              <w:t>67.7</w:t>
            </w:r>
          </w:p>
        </w:tc>
      </w:tr>
    </w:tbl>
    <w:p>
      <w:pPr>
        <w:spacing w:after="40"/>
      </w:pPr>
    </w:p>
    <w:p>
      <w:pPr>
        <w:spacing w:after="120"/>
      </w:pPr>
      <w:r>
        <w:rPr>
          <w:b w:val="0"/>
          <w:i w:val="0"/>
        </w:rPr>
        <w:t>Yearly PM2.5 (average of city means; each city-year needs at least 100 days of data):</w:t>
      </w:r>
    </w:p>
    <w:tbl>
      <w:tblPr>
        <w:tblStyle w:val="TableGrid"/>
        <w:tblW w:type="auto" w:w="0"/>
        <w:jc w:val="center"/>
        <w:tblLook w:firstColumn="1" w:firstRow="1" w:lastColumn="0" w:lastRow="0" w:noHBand="0" w:noVBand="1" w:val="04A0"/>
      </w:tblPr>
      <w:tblGrid>
        <w:gridCol w:w="3106"/>
        <w:gridCol w:w="3106"/>
        <w:gridCol w:w="3106"/>
      </w:tblGrid>
      <w:tr>
        <w:tc>
          <w:tcPr>
            <w:tcW w:type="dxa" w:w="2880"/>
            <w:shd w:val="clear" w:color="auto" w:fill="D9E2F3"/>
          </w:tcPr>
          <w:p>
            <w:r/>
            <w:r>
              <w:rPr>
                <w:b/>
                <w:sz w:val="20"/>
              </w:rPr>
              <w:t>Year</w:t>
            </w:r>
          </w:p>
        </w:tc>
        <w:tc>
          <w:tcPr>
            <w:tcW w:type="dxa" w:w="2592"/>
            <w:shd w:val="clear" w:color="auto" w:fill="D9E2F3"/>
          </w:tcPr>
          <w:p>
            <w:r/>
            <w:r>
              <w:rPr>
                <w:b/>
                <w:sz w:val="20"/>
              </w:rPr>
              <w:t>Mean PM2.5</w:t>
            </w:r>
          </w:p>
        </w:tc>
        <w:tc>
          <w:tcPr>
            <w:tcW w:type="dxa" w:w="2880"/>
            <w:shd w:val="clear" w:color="auto" w:fill="D9E2F3"/>
          </w:tcPr>
          <w:p>
            <w:r/>
            <w:r>
              <w:rPr>
                <w:b/>
                <w:sz w:val="20"/>
              </w:rPr>
              <w:t>Cities included</w:t>
            </w:r>
          </w:p>
        </w:tc>
      </w:tr>
      <w:tr>
        <w:tc>
          <w:tcPr>
            <w:tcW w:type="dxa" w:w="2880"/>
          </w:tcPr>
          <w:p>
            <w:r/>
            <w:r>
              <w:rPr>
                <w:sz w:val="20"/>
              </w:rPr>
              <w:t>2015</w:t>
            </w:r>
          </w:p>
        </w:tc>
        <w:tc>
          <w:tcPr>
            <w:tcW w:type="dxa" w:w="2592"/>
          </w:tcPr>
          <w:p>
            <w:r/>
            <w:r>
              <w:rPr>
                <w:sz w:val="20"/>
              </w:rPr>
              <w:t>75.1</w:t>
            </w:r>
          </w:p>
        </w:tc>
        <w:tc>
          <w:tcPr>
            <w:tcW w:type="dxa" w:w="2880"/>
          </w:tcPr>
          <w:p>
            <w:r/>
            <w:r>
              <w:rPr>
                <w:sz w:val="20"/>
              </w:rPr>
              <w:t>6</w:t>
            </w:r>
          </w:p>
        </w:tc>
      </w:tr>
      <w:tr>
        <w:tc>
          <w:tcPr>
            <w:tcW w:type="dxa" w:w="2880"/>
          </w:tcPr>
          <w:p>
            <w:r/>
            <w:r>
              <w:rPr>
                <w:sz w:val="20"/>
              </w:rPr>
              <w:t>2016</w:t>
            </w:r>
          </w:p>
        </w:tc>
        <w:tc>
          <w:tcPr>
            <w:tcW w:type="dxa" w:w="2592"/>
          </w:tcPr>
          <w:p>
            <w:r/>
            <w:r>
              <w:rPr>
                <w:sz w:val="20"/>
              </w:rPr>
              <w:t>88.1</w:t>
            </w:r>
          </w:p>
        </w:tc>
        <w:tc>
          <w:tcPr>
            <w:tcW w:type="dxa" w:w="2880"/>
          </w:tcPr>
          <w:p>
            <w:r/>
            <w:r>
              <w:rPr>
                <w:sz w:val="20"/>
              </w:rPr>
              <w:t>9</w:t>
            </w:r>
          </w:p>
        </w:tc>
      </w:tr>
      <w:tr>
        <w:tc>
          <w:tcPr>
            <w:tcW w:type="dxa" w:w="2880"/>
          </w:tcPr>
          <w:p>
            <w:r/>
            <w:r>
              <w:rPr>
                <w:sz w:val="20"/>
              </w:rPr>
              <w:t>2017</w:t>
            </w:r>
          </w:p>
        </w:tc>
        <w:tc>
          <w:tcPr>
            <w:tcW w:type="dxa" w:w="2592"/>
          </w:tcPr>
          <w:p>
            <w:r/>
            <w:r>
              <w:rPr>
                <w:sz w:val="20"/>
              </w:rPr>
              <w:t>83.8</w:t>
            </w:r>
          </w:p>
        </w:tc>
        <w:tc>
          <w:tcPr>
            <w:tcW w:type="dxa" w:w="2880"/>
          </w:tcPr>
          <w:p>
            <w:r/>
            <w:r>
              <w:rPr>
                <w:sz w:val="20"/>
              </w:rPr>
              <w:t>11</w:t>
            </w:r>
          </w:p>
        </w:tc>
      </w:tr>
      <w:tr>
        <w:tc>
          <w:tcPr>
            <w:tcW w:type="dxa" w:w="2880"/>
          </w:tcPr>
          <w:p>
            <w:r/>
            <w:r>
              <w:rPr>
                <w:sz w:val="20"/>
              </w:rPr>
              <w:t>2018</w:t>
            </w:r>
          </w:p>
        </w:tc>
        <w:tc>
          <w:tcPr>
            <w:tcW w:type="dxa" w:w="2592"/>
          </w:tcPr>
          <w:p>
            <w:r/>
            <w:r>
              <w:rPr>
                <w:sz w:val="20"/>
              </w:rPr>
              <w:t>67.9</w:t>
            </w:r>
          </w:p>
        </w:tc>
        <w:tc>
          <w:tcPr>
            <w:tcW w:type="dxa" w:w="2880"/>
          </w:tcPr>
          <w:p>
            <w:r/>
            <w:r>
              <w:rPr>
                <w:sz w:val="20"/>
              </w:rPr>
              <w:t>17</w:t>
            </w:r>
          </w:p>
        </w:tc>
      </w:tr>
      <w:tr>
        <w:tc>
          <w:tcPr>
            <w:tcW w:type="dxa" w:w="2880"/>
          </w:tcPr>
          <w:p>
            <w:r/>
            <w:r>
              <w:rPr>
                <w:sz w:val="20"/>
              </w:rPr>
              <w:t>2019</w:t>
            </w:r>
          </w:p>
        </w:tc>
        <w:tc>
          <w:tcPr>
            <w:tcW w:type="dxa" w:w="2592"/>
          </w:tcPr>
          <w:p>
            <w:r/>
            <w:r>
              <w:rPr>
                <w:sz w:val="20"/>
              </w:rPr>
              <w:t>57.6</w:t>
            </w:r>
          </w:p>
        </w:tc>
        <w:tc>
          <w:tcPr>
            <w:tcW w:type="dxa" w:w="2880"/>
          </w:tcPr>
          <w:p>
            <w:r/>
            <w:r>
              <w:rPr>
                <w:sz w:val="20"/>
              </w:rPr>
              <w:t>23</w:t>
            </w:r>
          </w:p>
        </w:tc>
      </w:tr>
      <w:tr>
        <w:tc>
          <w:tcPr>
            <w:tcW w:type="dxa" w:w="2880"/>
          </w:tcPr>
          <w:p>
            <w:r/>
            <w:r>
              <w:rPr>
                <w:sz w:val="20"/>
              </w:rPr>
              <w:t>2020</w:t>
            </w:r>
          </w:p>
        </w:tc>
        <w:tc>
          <w:tcPr>
            <w:tcW w:type="dxa" w:w="2592"/>
          </w:tcPr>
          <w:p>
            <w:r/>
            <w:r>
              <w:rPr>
                <w:sz w:val="20"/>
              </w:rPr>
              <w:t>43.7</w:t>
            </w:r>
          </w:p>
        </w:tc>
        <w:tc>
          <w:tcPr>
            <w:tcW w:type="dxa" w:w="2880"/>
          </w:tcPr>
          <w:p>
            <w:r/>
            <w:r>
              <w:rPr>
                <w:sz w:val="20"/>
              </w:rPr>
              <w:t>26</w:t>
            </w:r>
          </w:p>
        </w:tc>
      </w:tr>
    </w:tbl>
    <w:p>
      <w:pPr>
        <w:spacing w:after="40"/>
      </w:pPr>
    </w:p>
    <w:p>
      <w:pPr>
        <w:pStyle w:val="Heading2"/>
      </w:pPr>
      <w:r>
        <w:t>4.3 Sorting and filtering</w:t>
      </w:r>
    </w:p>
    <w:p>
      <w:pPr>
        <w:spacing w:after="120"/>
      </w:pPr>
      <w:r>
        <w:rPr>
          <w:b w:val="0"/>
          <w:i w:val="0"/>
        </w:rPr>
        <w:t>Sorting by mean AQI gives Ahmedabad (452.1) as the most polluted city and Thiruvananthapuram (75.9) as the cleanest. Filtering for days rated Poor, Very Poor or Severe shows they make up 26.0% of all records; the city with the largest share is Ahmedabad (81.9% of its days).</w:t>
      </w:r>
    </w:p>
    <w:tbl>
      <w:tblPr>
        <w:tblStyle w:val="TableGrid"/>
        <w:tblW w:type="auto" w:w="0"/>
        <w:jc w:val="center"/>
        <w:tblLook w:firstColumn="1" w:firstRow="1" w:lastColumn="0" w:lastRow="0" w:noHBand="0" w:noVBand="1" w:val="04A0"/>
      </w:tblPr>
      <w:tblGrid>
        <w:gridCol w:w="3106"/>
        <w:gridCol w:w="3106"/>
        <w:gridCol w:w="3106"/>
      </w:tblGrid>
      <w:tr>
        <w:tc>
          <w:tcPr>
            <w:tcW w:type="dxa" w:w="3600"/>
            <w:shd w:val="clear" w:color="auto" w:fill="D9E2F3"/>
          </w:tcPr>
          <w:p>
            <w:r/>
            <w:r>
              <w:rPr>
                <w:b/>
                <w:sz w:val="20"/>
              </w:rPr>
              <w:t>AQI category</w:t>
            </w:r>
          </w:p>
        </w:tc>
        <w:tc>
          <w:tcPr>
            <w:tcW w:type="dxa" w:w="2592"/>
            <w:shd w:val="clear" w:color="auto" w:fill="D9E2F3"/>
          </w:tcPr>
          <w:p>
            <w:r/>
            <w:r>
              <w:rPr>
                <w:b/>
                <w:sz w:val="20"/>
              </w:rPr>
              <w:t>City-days</w:t>
            </w:r>
          </w:p>
        </w:tc>
        <w:tc>
          <w:tcPr>
            <w:tcW w:type="dxa" w:w="2304"/>
            <w:shd w:val="clear" w:color="auto" w:fill="D9E2F3"/>
          </w:tcPr>
          <w:p>
            <w:r/>
            <w:r>
              <w:rPr>
                <w:b/>
                <w:sz w:val="20"/>
              </w:rPr>
              <w:t>Share (%)</w:t>
            </w:r>
          </w:p>
        </w:tc>
      </w:tr>
      <w:tr>
        <w:tc>
          <w:tcPr>
            <w:tcW w:type="dxa" w:w="3600"/>
          </w:tcPr>
          <w:p>
            <w:r/>
            <w:r>
              <w:rPr>
                <w:sz w:val="20"/>
              </w:rPr>
              <w:t>Good</w:t>
            </w:r>
          </w:p>
        </w:tc>
        <w:tc>
          <w:tcPr>
            <w:tcW w:type="dxa" w:w="2592"/>
          </w:tcPr>
          <w:p>
            <w:r/>
            <w:r>
              <w:rPr>
                <w:sz w:val="20"/>
              </w:rPr>
              <w:t>1,341</w:t>
            </w:r>
          </w:p>
        </w:tc>
        <w:tc>
          <w:tcPr>
            <w:tcW w:type="dxa" w:w="2304"/>
          </w:tcPr>
          <w:p>
            <w:r/>
            <w:r>
              <w:rPr>
                <w:sz w:val="20"/>
              </w:rPr>
              <w:t>5.4</w:t>
            </w:r>
          </w:p>
        </w:tc>
      </w:tr>
      <w:tr>
        <w:tc>
          <w:tcPr>
            <w:tcW w:type="dxa" w:w="3600"/>
          </w:tcPr>
          <w:p>
            <w:r/>
            <w:r>
              <w:rPr>
                <w:sz w:val="20"/>
              </w:rPr>
              <w:t>Satisfactory</w:t>
            </w:r>
          </w:p>
        </w:tc>
        <w:tc>
          <w:tcPr>
            <w:tcW w:type="dxa" w:w="2592"/>
          </w:tcPr>
          <w:p>
            <w:r/>
            <w:r>
              <w:rPr>
                <w:sz w:val="20"/>
              </w:rPr>
              <w:t>8,224</w:t>
            </w:r>
          </w:p>
        </w:tc>
        <w:tc>
          <w:tcPr>
            <w:tcW w:type="dxa" w:w="2304"/>
          </w:tcPr>
          <w:p>
            <w:r/>
            <w:r>
              <w:rPr>
                <w:sz w:val="20"/>
              </w:rPr>
              <w:t>33.1</w:t>
            </w:r>
          </w:p>
        </w:tc>
      </w:tr>
      <w:tr>
        <w:tc>
          <w:tcPr>
            <w:tcW w:type="dxa" w:w="3600"/>
          </w:tcPr>
          <w:p>
            <w:r/>
            <w:r>
              <w:rPr>
                <w:sz w:val="20"/>
              </w:rPr>
              <w:t>Moderate</w:t>
            </w:r>
          </w:p>
        </w:tc>
        <w:tc>
          <w:tcPr>
            <w:tcW w:type="dxa" w:w="2592"/>
          </w:tcPr>
          <w:p>
            <w:r/>
            <w:r>
              <w:rPr>
                <w:sz w:val="20"/>
              </w:rPr>
              <w:t>8,829</w:t>
            </w:r>
          </w:p>
        </w:tc>
        <w:tc>
          <w:tcPr>
            <w:tcW w:type="dxa" w:w="2304"/>
          </w:tcPr>
          <w:p>
            <w:r/>
            <w:r>
              <w:rPr>
                <w:sz w:val="20"/>
              </w:rPr>
              <w:t>35.5</w:t>
            </w:r>
          </w:p>
        </w:tc>
      </w:tr>
      <w:tr>
        <w:tc>
          <w:tcPr>
            <w:tcW w:type="dxa" w:w="3600"/>
          </w:tcPr>
          <w:p>
            <w:r/>
            <w:r>
              <w:rPr>
                <w:sz w:val="20"/>
              </w:rPr>
              <w:t>Poor</w:t>
            </w:r>
          </w:p>
        </w:tc>
        <w:tc>
          <w:tcPr>
            <w:tcW w:type="dxa" w:w="2592"/>
          </w:tcPr>
          <w:p>
            <w:r/>
            <w:r>
              <w:rPr>
                <w:sz w:val="20"/>
              </w:rPr>
              <w:t>2,781</w:t>
            </w:r>
          </w:p>
        </w:tc>
        <w:tc>
          <w:tcPr>
            <w:tcW w:type="dxa" w:w="2304"/>
          </w:tcPr>
          <w:p>
            <w:r/>
            <w:r>
              <w:rPr>
                <w:sz w:val="20"/>
              </w:rPr>
              <w:t>11.2</w:t>
            </w:r>
          </w:p>
        </w:tc>
      </w:tr>
      <w:tr>
        <w:tc>
          <w:tcPr>
            <w:tcW w:type="dxa" w:w="3600"/>
          </w:tcPr>
          <w:p>
            <w:r/>
            <w:r>
              <w:rPr>
                <w:sz w:val="20"/>
              </w:rPr>
              <w:t>Very Poor</w:t>
            </w:r>
          </w:p>
        </w:tc>
        <w:tc>
          <w:tcPr>
            <w:tcW w:type="dxa" w:w="2592"/>
          </w:tcPr>
          <w:p>
            <w:r/>
            <w:r>
              <w:rPr>
                <w:sz w:val="20"/>
              </w:rPr>
              <w:t>2,337</w:t>
            </w:r>
          </w:p>
        </w:tc>
        <w:tc>
          <w:tcPr>
            <w:tcW w:type="dxa" w:w="2304"/>
          </w:tcPr>
          <w:p>
            <w:r/>
            <w:r>
              <w:rPr>
                <w:sz w:val="20"/>
              </w:rPr>
              <w:t>9.4</w:t>
            </w:r>
          </w:p>
        </w:tc>
      </w:tr>
      <w:tr>
        <w:tc>
          <w:tcPr>
            <w:tcW w:type="dxa" w:w="3600"/>
          </w:tcPr>
          <w:p>
            <w:r/>
            <w:r>
              <w:rPr>
                <w:sz w:val="20"/>
              </w:rPr>
              <w:t>Severe</w:t>
            </w:r>
          </w:p>
        </w:tc>
        <w:tc>
          <w:tcPr>
            <w:tcW w:type="dxa" w:w="2592"/>
          </w:tcPr>
          <w:p>
            <w:r/>
            <w:r>
              <w:rPr>
                <w:sz w:val="20"/>
              </w:rPr>
              <w:t>1,338</w:t>
            </w:r>
          </w:p>
        </w:tc>
        <w:tc>
          <w:tcPr>
            <w:tcW w:type="dxa" w:w="2304"/>
          </w:tcPr>
          <w:p>
            <w:r/>
            <w:r>
              <w:rPr>
                <w:sz w:val="20"/>
              </w:rPr>
              <w:t>5.4</w:t>
            </w:r>
          </w:p>
        </w:tc>
      </w:tr>
    </w:tbl>
    <w:p>
      <w:pPr>
        <w:spacing w:after="40"/>
      </w:pPr>
    </w:p>
    <w:p>
      <w:pPr>
        <w:pStyle w:val="Heading2"/>
      </w:pPr>
      <w:r>
        <w:t>4.4 Correlation</w:t>
      </w:r>
    </w:p>
    <w:p>
      <w:pPr>
        <w:spacing w:after="120"/>
      </w:pPr>
      <w:r>
        <w:rPr>
          <w:b w:val="0"/>
          <w:i w:val="0"/>
        </w:rPr>
        <w:t>Correlation of each pollutant with AQI (Pearson, using available data):</w:t>
      </w:r>
    </w:p>
    <w:tbl>
      <w:tblPr>
        <w:tblStyle w:val="TableGrid"/>
        <w:tblW w:type="auto" w:w="0"/>
        <w:jc w:val="center"/>
        <w:tblLook w:firstColumn="1" w:firstRow="1" w:lastColumn="0" w:lastRow="0" w:noHBand="0" w:noVBand="1" w:val="04A0"/>
      </w:tblPr>
      <w:tblGrid>
        <w:gridCol w:w="4658"/>
        <w:gridCol w:w="4658"/>
      </w:tblGrid>
      <w:tr>
        <w:tc>
          <w:tcPr>
            <w:tcW w:type="dxa" w:w="3600"/>
            <w:shd w:val="clear" w:color="auto" w:fill="D9E2F3"/>
          </w:tcPr>
          <w:p>
            <w:r/>
            <w:r>
              <w:rPr>
                <w:b/>
                <w:sz w:val="20"/>
              </w:rPr>
              <w:t>Pollutant</w:t>
            </w:r>
          </w:p>
        </w:tc>
        <w:tc>
          <w:tcPr>
            <w:tcW w:type="dxa" w:w="3600"/>
            <w:shd w:val="clear" w:color="auto" w:fill="D9E2F3"/>
          </w:tcPr>
          <w:p>
            <w:r/>
            <w:r>
              <w:rPr>
                <w:b/>
                <w:sz w:val="20"/>
              </w:rPr>
              <w:t>Correlation with AQI</w:t>
            </w:r>
          </w:p>
        </w:tc>
      </w:tr>
      <w:tr>
        <w:tc>
          <w:tcPr>
            <w:tcW w:type="dxa" w:w="3600"/>
          </w:tcPr>
          <w:p>
            <w:r/>
            <w:r>
              <w:rPr>
                <w:sz w:val="20"/>
              </w:rPr>
              <w:t>PM10</w:t>
            </w:r>
          </w:p>
        </w:tc>
        <w:tc>
          <w:tcPr>
            <w:tcW w:type="dxa" w:w="3600"/>
          </w:tcPr>
          <w:p>
            <w:r/>
            <w:r>
              <w:rPr>
                <w:sz w:val="20"/>
              </w:rPr>
              <w:t>0.8</w:t>
            </w:r>
          </w:p>
        </w:tc>
      </w:tr>
      <w:tr>
        <w:tc>
          <w:tcPr>
            <w:tcW w:type="dxa" w:w="3600"/>
          </w:tcPr>
          <w:p>
            <w:r/>
            <w:r>
              <w:rPr>
                <w:sz w:val="20"/>
              </w:rPr>
              <w:t>CO</w:t>
            </w:r>
          </w:p>
        </w:tc>
        <w:tc>
          <w:tcPr>
            <w:tcW w:type="dxa" w:w="3600"/>
          </w:tcPr>
          <w:p>
            <w:r/>
            <w:r>
              <w:rPr>
                <w:sz w:val="20"/>
              </w:rPr>
              <w:t>0.68</w:t>
            </w:r>
          </w:p>
        </w:tc>
      </w:tr>
      <w:tr>
        <w:tc>
          <w:tcPr>
            <w:tcW w:type="dxa" w:w="3600"/>
          </w:tcPr>
          <w:p>
            <w:r/>
            <w:r>
              <w:rPr>
                <w:sz w:val="20"/>
              </w:rPr>
              <w:t>PM2.5</w:t>
            </w:r>
          </w:p>
        </w:tc>
        <w:tc>
          <w:tcPr>
            <w:tcW w:type="dxa" w:w="3600"/>
          </w:tcPr>
          <w:p>
            <w:r/>
            <w:r>
              <w:rPr>
                <w:sz w:val="20"/>
              </w:rPr>
              <w:t>0.66</w:t>
            </w:r>
          </w:p>
        </w:tc>
      </w:tr>
      <w:tr>
        <w:tc>
          <w:tcPr>
            <w:tcW w:type="dxa" w:w="3600"/>
          </w:tcPr>
          <w:p>
            <w:r/>
            <w:r>
              <w:rPr>
                <w:sz w:val="20"/>
              </w:rPr>
              <w:t>NO2</w:t>
            </w:r>
          </w:p>
        </w:tc>
        <w:tc>
          <w:tcPr>
            <w:tcW w:type="dxa" w:w="3600"/>
          </w:tcPr>
          <w:p>
            <w:r/>
            <w:r>
              <w:rPr>
                <w:sz w:val="20"/>
              </w:rPr>
              <w:t>0.54</w:t>
            </w:r>
          </w:p>
        </w:tc>
      </w:tr>
      <w:tr>
        <w:tc>
          <w:tcPr>
            <w:tcW w:type="dxa" w:w="3600"/>
          </w:tcPr>
          <w:p>
            <w:r/>
            <w:r>
              <w:rPr>
                <w:sz w:val="20"/>
              </w:rPr>
              <w:t>SO2</w:t>
            </w:r>
          </w:p>
        </w:tc>
        <w:tc>
          <w:tcPr>
            <w:tcW w:type="dxa" w:w="3600"/>
          </w:tcPr>
          <w:p>
            <w:r/>
            <w:r>
              <w:rPr>
                <w:sz w:val="20"/>
              </w:rPr>
              <w:t>0.49</w:t>
            </w:r>
          </w:p>
        </w:tc>
      </w:tr>
      <w:tr>
        <w:tc>
          <w:tcPr>
            <w:tcW w:type="dxa" w:w="3600"/>
          </w:tcPr>
          <w:p>
            <w:r/>
            <w:r>
              <w:rPr>
                <w:sz w:val="20"/>
              </w:rPr>
              <w:t>NOx</w:t>
            </w:r>
          </w:p>
        </w:tc>
        <w:tc>
          <w:tcPr>
            <w:tcW w:type="dxa" w:w="3600"/>
          </w:tcPr>
          <w:p>
            <w:r/>
            <w:r>
              <w:rPr>
                <w:sz w:val="20"/>
              </w:rPr>
              <w:t>0.48</w:t>
            </w:r>
          </w:p>
        </w:tc>
      </w:tr>
      <w:tr>
        <w:tc>
          <w:tcPr>
            <w:tcW w:type="dxa" w:w="3600"/>
          </w:tcPr>
          <w:p>
            <w:r/>
            <w:r>
              <w:rPr>
                <w:sz w:val="20"/>
              </w:rPr>
              <w:t>NO</w:t>
            </w:r>
          </w:p>
        </w:tc>
        <w:tc>
          <w:tcPr>
            <w:tcW w:type="dxa" w:w="3600"/>
          </w:tcPr>
          <w:p>
            <w:r/>
            <w:r>
              <w:rPr>
                <w:sz w:val="20"/>
              </w:rPr>
              <w:t>0.44</w:t>
            </w:r>
          </w:p>
        </w:tc>
      </w:tr>
      <w:tr>
        <w:tc>
          <w:tcPr>
            <w:tcW w:type="dxa" w:w="3600"/>
          </w:tcPr>
          <w:p>
            <w:r/>
            <w:r>
              <w:rPr>
                <w:sz w:val="20"/>
              </w:rPr>
              <w:t>Toluene</w:t>
            </w:r>
          </w:p>
        </w:tc>
        <w:tc>
          <w:tcPr>
            <w:tcW w:type="dxa" w:w="3600"/>
          </w:tcPr>
          <w:p>
            <w:r/>
            <w:r>
              <w:rPr>
                <w:sz w:val="20"/>
              </w:rPr>
              <w:t>0.28</w:t>
            </w:r>
          </w:p>
        </w:tc>
      </w:tr>
      <w:tr>
        <w:tc>
          <w:tcPr>
            <w:tcW w:type="dxa" w:w="3600"/>
          </w:tcPr>
          <w:p>
            <w:r/>
            <w:r>
              <w:rPr>
                <w:sz w:val="20"/>
              </w:rPr>
              <w:t>NH3</w:t>
            </w:r>
          </w:p>
        </w:tc>
        <w:tc>
          <w:tcPr>
            <w:tcW w:type="dxa" w:w="3600"/>
          </w:tcPr>
          <w:p>
            <w:r/>
            <w:r>
              <w:rPr>
                <w:sz w:val="20"/>
              </w:rPr>
              <w:t>0.25</w:t>
            </w:r>
          </w:p>
        </w:tc>
      </w:tr>
      <w:tr>
        <w:tc>
          <w:tcPr>
            <w:tcW w:type="dxa" w:w="3600"/>
          </w:tcPr>
          <w:p>
            <w:r/>
            <w:r>
              <w:rPr>
                <w:sz w:val="20"/>
              </w:rPr>
              <w:t>O3</w:t>
            </w:r>
          </w:p>
        </w:tc>
        <w:tc>
          <w:tcPr>
            <w:tcW w:type="dxa" w:w="3600"/>
          </w:tcPr>
          <w:p>
            <w:r/>
            <w:r>
              <w:rPr>
                <w:sz w:val="20"/>
              </w:rPr>
              <w:t>0.2</w:t>
            </w:r>
          </w:p>
        </w:tc>
      </w:tr>
      <w:tr>
        <w:tc>
          <w:tcPr>
            <w:tcW w:type="dxa" w:w="3600"/>
          </w:tcPr>
          <w:p>
            <w:r/>
            <w:r>
              <w:rPr>
                <w:sz w:val="20"/>
              </w:rPr>
              <w:t>Xylene</w:t>
            </w:r>
          </w:p>
        </w:tc>
        <w:tc>
          <w:tcPr>
            <w:tcW w:type="dxa" w:w="3600"/>
          </w:tcPr>
          <w:p>
            <w:r/>
            <w:r>
              <w:rPr>
                <w:sz w:val="20"/>
              </w:rPr>
              <w:t>0.13</w:t>
            </w:r>
          </w:p>
        </w:tc>
      </w:tr>
      <w:tr>
        <w:tc>
          <w:tcPr>
            <w:tcW w:type="dxa" w:w="3600"/>
          </w:tcPr>
          <w:p>
            <w:r/>
            <w:r>
              <w:rPr>
                <w:sz w:val="20"/>
              </w:rPr>
              <w:t>Benzene</w:t>
            </w:r>
          </w:p>
        </w:tc>
        <w:tc>
          <w:tcPr>
            <w:tcW w:type="dxa" w:w="3600"/>
          </w:tcPr>
          <w:p>
            <w:r/>
            <w:r>
              <w:rPr>
                <w:sz w:val="20"/>
              </w:rPr>
              <w:t>0.04</w:t>
            </w:r>
          </w:p>
        </w:tc>
      </w:tr>
    </w:tbl>
    <w:p>
      <w:pPr>
        <w:spacing w:after="40"/>
      </w:pPr>
    </w:p>
    <w:p>
      <w:pPr>
        <w:spacing w:after="120"/>
      </w:pPr>
      <w:r>
        <w:rPr>
          <w:b w:val="0"/>
          <w:i w:val="0"/>
        </w:rPr>
        <w:t>The strongest pair of pollutants is PM2.5 and PM10 (r = 0.83). PM2.5 and PM10 have a Spearman correlation of 0.873.</w:t>
      </w:r>
    </w:p>
    <w:p>
      <w:pPr>
        <w:pStyle w:val="Heading2"/>
      </w:pPr>
      <w:r>
        <w:t>4.5 Statistical tests</w:t>
      </w:r>
    </w:p>
    <w:tbl>
      <w:tblPr>
        <w:tblStyle w:val="TableGrid"/>
        <w:tblW w:type="auto" w:w="0"/>
        <w:jc w:val="center"/>
        <w:tblLook w:firstColumn="1" w:firstRow="1" w:lastColumn="0" w:lastRow="0" w:noHBand="0" w:noVBand="1" w:val="04A0"/>
      </w:tblPr>
      <w:tblGrid>
        <w:gridCol w:w="3106"/>
        <w:gridCol w:w="3106"/>
        <w:gridCol w:w="3106"/>
      </w:tblGrid>
      <w:tr>
        <w:tc>
          <w:tcPr>
            <w:tcW w:type="dxa" w:w="4896"/>
            <w:shd w:val="clear" w:color="auto" w:fill="D9E2F3"/>
          </w:tcPr>
          <w:p>
            <w:r/>
            <w:r>
              <w:rPr>
                <w:b/>
                <w:sz w:val="20"/>
              </w:rPr>
              <w:t>Test</w:t>
            </w:r>
          </w:p>
        </w:tc>
        <w:tc>
          <w:tcPr>
            <w:tcW w:type="dxa" w:w="2736"/>
            <w:shd w:val="clear" w:color="auto" w:fill="D9E2F3"/>
          </w:tcPr>
          <w:p>
            <w:r/>
            <w:r>
              <w:rPr>
                <w:b/>
                <w:sz w:val="20"/>
              </w:rPr>
              <w:t>Result</w:t>
            </w:r>
          </w:p>
        </w:tc>
        <w:tc>
          <w:tcPr>
            <w:tcW w:type="dxa" w:w="1728"/>
            <w:shd w:val="clear" w:color="auto" w:fill="D9E2F3"/>
          </w:tcPr>
          <w:p>
            <w:r/>
            <w:r>
              <w:rPr>
                <w:b/>
                <w:sz w:val="20"/>
              </w:rPr>
              <w:t>p-value</w:t>
            </w:r>
          </w:p>
        </w:tc>
      </w:tr>
      <w:tr>
        <w:tc>
          <w:tcPr>
            <w:tcW w:type="dxa" w:w="4896"/>
          </w:tcPr>
          <w:p>
            <w:r/>
            <w:r>
              <w:rPr>
                <w:sz w:val="20"/>
              </w:rPr>
              <w:t>Kruskal-Wallis: PM2.5 across four seasons</w:t>
            </w:r>
          </w:p>
        </w:tc>
        <w:tc>
          <w:tcPr>
            <w:tcW w:type="dxa" w:w="2736"/>
          </w:tcPr>
          <w:p>
            <w:r/>
            <w:r>
              <w:rPr>
                <w:sz w:val="20"/>
              </w:rPr>
              <w:t>H = 6423.9</w:t>
            </w:r>
          </w:p>
        </w:tc>
        <w:tc>
          <w:tcPr>
            <w:tcW w:type="dxa" w:w="1728"/>
          </w:tcPr>
          <w:p>
            <w:r/>
            <w:r>
              <w:rPr>
                <w:sz w:val="20"/>
              </w:rPr>
              <w:t>&lt; 0.001</w:t>
            </w:r>
          </w:p>
        </w:tc>
      </w:tr>
      <w:tr>
        <w:tc>
          <w:tcPr>
            <w:tcW w:type="dxa" w:w="4896"/>
          </w:tcPr>
          <w:p>
            <w:r/>
            <w:r>
              <w:rPr>
                <w:sz w:val="20"/>
              </w:rPr>
              <w:t>Spearman: PM2.5 vs PM10</w:t>
            </w:r>
          </w:p>
        </w:tc>
        <w:tc>
          <w:tcPr>
            <w:tcW w:type="dxa" w:w="2736"/>
          </w:tcPr>
          <w:p>
            <w:r/>
            <w:r>
              <w:rPr>
                <w:sz w:val="20"/>
              </w:rPr>
              <w:t>rho = 0.873</w:t>
            </w:r>
          </w:p>
        </w:tc>
        <w:tc>
          <w:tcPr>
            <w:tcW w:type="dxa" w:w="1728"/>
          </w:tcPr>
          <w:p>
            <w:r/>
            <w:r>
              <w:rPr>
                <w:sz w:val="20"/>
              </w:rPr>
              <w:t>&lt; 0.001</w:t>
            </w:r>
          </w:p>
        </w:tc>
      </w:tr>
      <w:tr>
        <w:tc>
          <w:tcPr>
            <w:tcW w:type="dxa" w:w="4896"/>
          </w:tcPr>
          <w:p>
            <w:r/>
            <w:r>
              <w:rPr>
                <w:sz w:val="20"/>
              </w:rPr>
              <w:t>Wilcoxon signed-rank: city PM2.5, lockdown window 2019 vs 2020 (19 cities)</w:t>
            </w:r>
          </w:p>
        </w:tc>
        <w:tc>
          <w:tcPr>
            <w:tcW w:type="dxa" w:w="2736"/>
          </w:tcPr>
          <w:p>
            <w:r/>
            <w:r>
              <w:rPr>
                <w:sz w:val="20"/>
              </w:rPr>
              <w:t>55.0 to 33.9 (-38.3%)</w:t>
            </w:r>
          </w:p>
        </w:tc>
        <w:tc>
          <w:tcPr>
            <w:tcW w:type="dxa" w:w="1728"/>
          </w:tcPr>
          <w:p>
            <w:r/>
            <w:r>
              <w:rPr>
                <w:sz w:val="20"/>
              </w:rPr>
              <w:t>&lt; 0.001</w:t>
            </w:r>
          </w:p>
        </w:tc>
      </w:tr>
    </w:tbl>
    <w:p>
      <w:pPr>
        <w:spacing w:after="40"/>
      </w:pPr>
    </w:p>
    <w:p>
      <w:pPr>
        <w:spacing w:after="120"/>
      </w:pPr>
      <w:r>
        <w:rPr>
          <w:b w:val="0"/>
          <w:i w:val="0"/>
        </w:rPr>
        <w:t>A p-value below 0.05 is conventionally treated as statistically significant. Non-parametric tests were used because pollution data is heavily skewed, not normally distributed.</w:t>
      </w:r>
    </w:p>
    <w:p>
      <w:pPr>
        <w:pStyle w:val="Heading2"/>
      </w:pPr>
      <w:r>
        <w:t>4.6 Prediction model</w:t>
      </w:r>
    </w:p>
    <w:p>
      <w:pPr>
        <w:spacing w:after="120"/>
      </w:pPr>
      <w:r>
        <w:rPr>
          <w:b w:val="0"/>
          <w:i w:val="0"/>
        </w:rPr>
        <w:t>A random forest regression model predicts the next day's PM2.5 using today's PM2.5, PM10, NO2, CO, O3 and the month. Rows up to 2020-01-23 were used for training (14,154 rows) and later rows for testing (3,532 rows), so the model is judged on dates it has never seen.</w:t>
      </w:r>
    </w:p>
    <w:tbl>
      <w:tblPr>
        <w:tblStyle w:val="TableGrid"/>
        <w:tblW w:type="auto" w:w="0"/>
        <w:jc w:val="center"/>
        <w:tblLook w:firstColumn="1" w:firstRow="1" w:lastColumn="0" w:lastRow="0" w:noHBand="0" w:noVBand="1" w:val="04A0"/>
      </w:tblPr>
      <w:tblGrid>
        <w:gridCol w:w="3106"/>
        <w:gridCol w:w="3106"/>
        <w:gridCol w:w="3106"/>
      </w:tblGrid>
      <w:tr>
        <w:tc>
          <w:tcPr>
            <w:tcW w:type="dxa" w:w="4320"/>
            <w:shd w:val="clear" w:color="auto" w:fill="D9E2F3"/>
          </w:tcPr>
          <w:p>
            <w:r/>
            <w:r>
              <w:rPr>
                <w:b/>
                <w:sz w:val="20"/>
              </w:rPr>
              <w:t>Model</w:t>
            </w:r>
          </w:p>
        </w:tc>
        <w:tc>
          <w:tcPr>
            <w:tcW w:type="dxa" w:w="2160"/>
            <w:shd w:val="clear" w:color="auto" w:fill="D9E2F3"/>
          </w:tcPr>
          <w:p>
            <w:r/>
            <w:r>
              <w:rPr>
                <w:b/>
                <w:sz w:val="20"/>
              </w:rPr>
              <w:t>R²</w:t>
            </w:r>
          </w:p>
        </w:tc>
        <w:tc>
          <w:tcPr>
            <w:tcW w:type="dxa" w:w="2592"/>
            <w:shd w:val="clear" w:color="auto" w:fill="D9E2F3"/>
          </w:tcPr>
          <w:p>
            <w:r/>
            <w:r>
              <w:rPr>
                <w:b/>
                <w:sz w:val="20"/>
              </w:rPr>
              <w:t>MAE (µg/m³)</w:t>
            </w:r>
          </w:p>
        </w:tc>
      </w:tr>
      <w:tr>
        <w:tc>
          <w:tcPr>
            <w:tcW w:type="dxa" w:w="4320"/>
          </w:tcPr>
          <w:p>
            <w:r/>
            <w:r>
              <w:rPr>
                <w:sz w:val="20"/>
              </w:rPr>
              <w:t>Baseline: tomorrow = today</w:t>
            </w:r>
          </w:p>
        </w:tc>
        <w:tc>
          <w:tcPr>
            <w:tcW w:type="dxa" w:w="2160"/>
          </w:tcPr>
          <w:p>
            <w:r/>
            <w:r>
              <w:rPr>
                <w:sz w:val="20"/>
              </w:rPr>
              <w:t>0.742</w:t>
            </w:r>
          </w:p>
        </w:tc>
        <w:tc>
          <w:tcPr>
            <w:tcW w:type="dxa" w:w="2592"/>
          </w:tcPr>
          <w:p>
            <w:r/>
            <w:r>
              <w:rPr>
                <w:sz w:val="20"/>
              </w:rPr>
              <w:t>8.81</w:t>
            </w:r>
          </w:p>
        </w:tc>
      </w:tr>
      <w:tr>
        <w:tc>
          <w:tcPr>
            <w:tcW w:type="dxa" w:w="4320"/>
          </w:tcPr>
          <w:p>
            <w:r/>
            <w:r>
              <w:rPr>
                <w:sz w:val="20"/>
              </w:rPr>
              <w:t>Random forest</w:t>
            </w:r>
          </w:p>
        </w:tc>
        <w:tc>
          <w:tcPr>
            <w:tcW w:type="dxa" w:w="2160"/>
          </w:tcPr>
          <w:p>
            <w:r/>
            <w:r>
              <w:rPr>
                <w:sz w:val="20"/>
              </w:rPr>
              <w:t>0.726</w:t>
            </w:r>
          </w:p>
        </w:tc>
        <w:tc>
          <w:tcPr>
            <w:tcW w:type="dxa" w:w="2592"/>
          </w:tcPr>
          <w:p>
            <w:r/>
            <w:r>
              <w:rPr>
                <w:sz w:val="20"/>
              </w:rPr>
              <w:t>9.57</w:t>
            </w:r>
          </w:p>
        </w:tc>
      </w:tr>
    </w:tbl>
    <w:p>
      <w:pPr>
        <w:spacing w:after="40"/>
      </w:pPr>
    </w:p>
    <w:p>
      <w:pPr>
        <w:spacing w:after="120"/>
      </w:pPr>
      <w:r>
        <w:rPr>
          <w:b w:val="0"/>
          <w:i w:val="0"/>
        </w:rPr>
        <w:t>Feature importance: PM2.5 0.909, PM10 0.027, NO2 0.021, CO 0.017, O3 0.017, Month 0.009.</w:t>
      </w:r>
    </w:p>
    <w:p>
      <w:pPr>
        <w:pStyle w:val="Heading1"/>
      </w:pPr>
      <w:r>
        <w:t>5. Data Visualization</w:t>
      </w:r>
    </w:p>
    <w:p>
      <w:pPr>
        <w:pStyle w:val="Heading2"/>
      </w:pPr>
      <w:r>
        <w:t>5.1 Matplotlib</w:t>
      </w:r>
    </w:p>
    <w:p>
      <w:pPr>
        <w:jc w:val="center"/>
      </w:pPr>
      <w:r>
        <w:drawing>
          <wp:inline xmlns:a="http://schemas.openxmlformats.org/drawingml/2006/main" xmlns:pic="http://schemas.openxmlformats.org/drawingml/2006/picture">
            <wp:extent cx="5120640" cy="3291840"/>
            <wp:docPr id="1" name="Picture 1"/>
            <wp:cNvGraphicFramePr>
              <a:graphicFrameLocks noChangeAspect="1"/>
            </wp:cNvGraphicFramePr>
            <a:graphic>
              <a:graphicData uri="http://schemas.openxmlformats.org/drawingml/2006/picture">
                <pic:pic>
                  <pic:nvPicPr>
                    <pic:cNvPr id="0" name="01_bar_missing.png"/>
                    <pic:cNvPicPr/>
                  </pic:nvPicPr>
                  <pic:blipFill>
                    <a:blip r:embed="rId9"/>
                    <a:stretch>
                      <a:fillRect/>
                    </a:stretch>
                  </pic:blipFill>
                  <pic:spPr>
                    <a:xfrm>
                      <a:off x="0" y="0"/>
                      <a:ext cx="5120640" cy="3291840"/>
                    </a:xfrm>
                    <a:prstGeom prst="rect"/>
                  </pic:spPr>
                </pic:pic>
              </a:graphicData>
            </a:graphic>
          </wp:inline>
        </w:drawing>
      </w:r>
    </w:p>
    <w:p>
      <w:pPr>
        <w:spacing w:after="200"/>
        <w:jc w:val="center"/>
      </w:pPr>
      <w:r>
        <w:rPr>
          <w:b w:val="0"/>
          <w:i/>
          <w:sz w:val="18"/>
        </w:rPr>
        <w:t>Figure 1: Bar chart: percentage of missing values per column in the raw data</w:t>
      </w:r>
    </w:p>
    <w:p>
      <w:pPr>
        <w:jc w:val="center"/>
      </w:pPr>
      <w:r>
        <w:drawing>
          <wp:inline xmlns:a="http://schemas.openxmlformats.org/drawingml/2006/main" xmlns:pic="http://schemas.openxmlformats.org/drawingml/2006/picture">
            <wp:extent cx="5120640" cy="3291840"/>
            <wp:docPr id="2" name="Picture 2"/>
            <wp:cNvGraphicFramePr>
              <a:graphicFrameLocks noChangeAspect="1"/>
            </wp:cNvGraphicFramePr>
            <a:graphic>
              <a:graphicData uri="http://schemas.openxmlformats.org/drawingml/2006/picture">
                <pic:pic>
                  <pic:nvPicPr>
                    <pic:cNvPr id="0" name="02_bar_city_aqi.png"/>
                    <pic:cNvPicPr/>
                  </pic:nvPicPr>
                  <pic:blipFill>
                    <a:blip r:embed="rId10"/>
                    <a:stretch>
                      <a:fillRect/>
                    </a:stretch>
                  </pic:blipFill>
                  <pic:spPr>
                    <a:xfrm>
                      <a:off x="0" y="0"/>
                      <a:ext cx="5120640" cy="3291840"/>
                    </a:xfrm>
                    <a:prstGeom prst="rect"/>
                  </pic:spPr>
                </pic:pic>
              </a:graphicData>
            </a:graphic>
          </wp:inline>
        </w:drawing>
      </w:r>
    </w:p>
    <w:p>
      <w:pPr>
        <w:spacing w:after="200"/>
        <w:jc w:val="center"/>
      </w:pPr>
      <w:r>
        <w:rPr>
          <w:b w:val="0"/>
          <w:i/>
          <w:sz w:val="18"/>
        </w:rPr>
        <w:t>Figure 2: Bar chart: ten cities with the highest mean AQI</w:t>
      </w:r>
    </w:p>
    <w:p>
      <w:pPr>
        <w:jc w:val="center"/>
      </w:pPr>
      <w:r>
        <w:drawing>
          <wp:inline xmlns:a="http://schemas.openxmlformats.org/drawingml/2006/main" xmlns:pic="http://schemas.openxmlformats.org/drawingml/2006/picture">
            <wp:extent cx="5120640" cy="2926080"/>
            <wp:docPr id="3" name="Picture 3"/>
            <wp:cNvGraphicFramePr>
              <a:graphicFrameLocks noChangeAspect="1"/>
            </wp:cNvGraphicFramePr>
            <a:graphic>
              <a:graphicData uri="http://schemas.openxmlformats.org/drawingml/2006/picture">
                <pic:pic>
                  <pic:nvPicPr>
                    <pic:cNvPr id="0" name="03_hist_pm25.png"/>
                    <pic:cNvPicPr/>
                  </pic:nvPicPr>
                  <pic:blipFill>
                    <a:blip r:embed="rId11"/>
                    <a:stretch>
                      <a:fillRect/>
                    </a:stretch>
                  </pic:blipFill>
                  <pic:spPr>
                    <a:xfrm>
                      <a:off x="0" y="0"/>
                      <a:ext cx="5120640" cy="2926080"/>
                    </a:xfrm>
                    <a:prstGeom prst="rect"/>
                  </pic:spPr>
                </pic:pic>
              </a:graphicData>
            </a:graphic>
          </wp:inline>
        </w:drawing>
      </w:r>
    </w:p>
    <w:p>
      <w:pPr>
        <w:spacing w:after="200"/>
        <w:jc w:val="center"/>
      </w:pPr>
      <w:r>
        <w:rPr>
          <w:b w:val="0"/>
          <w:i/>
          <w:sz w:val="18"/>
        </w:rPr>
        <w:t>Figure 3: Histogram: distribution of daily PM2.5 readings</w:t>
      </w:r>
    </w:p>
    <w:p>
      <w:pPr>
        <w:jc w:val="center"/>
      </w:pPr>
      <w:r>
        <w:drawing>
          <wp:inline xmlns:a="http://schemas.openxmlformats.org/drawingml/2006/main" xmlns:pic="http://schemas.openxmlformats.org/drawingml/2006/picture">
            <wp:extent cx="5120640" cy="3938954"/>
            <wp:docPr id="4" name="Picture 4"/>
            <wp:cNvGraphicFramePr>
              <a:graphicFrameLocks noChangeAspect="1"/>
            </wp:cNvGraphicFramePr>
            <a:graphic>
              <a:graphicData uri="http://schemas.openxmlformats.org/drawingml/2006/picture">
                <pic:pic>
                  <pic:nvPicPr>
                    <pic:cNvPr id="0" name="04_scatter_pm.png"/>
                    <pic:cNvPicPr/>
                  </pic:nvPicPr>
                  <pic:blipFill>
                    <a:blip r:embed="rId12"/>
                    <a:stretch>
                      <a:fillRect/>
                    </a:stretch>
                  </pic:blipFill>
                  <pic:spPr>
                    <a:xfrm>
                      <a:off x="0" y="0"/>
                      <a:ext cx="5120640" cy="3938954"/>
                    </a:xfrm>
                    <a:prstGeom prst="rect"/>
                  </pic:spPr>
                </pic:pic>
              </a:graphicData>
            </a:graphic>
          </wp:inline>
        </w:drawing>
      </w:r>
    </w:p>
    <w:p>
      <w:pPr>
        <w:spacing w:after="200"/>
        <w:jc w:val="center"/>
      </w:pPr>
      <w:r>
        <w:rPr>
          <w:b w:val="0"/>
          <w:i/>
          <w:sz w:val="18"/>
        </w:rPr>
        <w:t>Figure 4: Scatter plot with trend line: PM2.5 against PM10</w:t>
      </w:r>
    </w:p>
    <w:p>
      <w:pPr>
        <w:jc w:val="center"/>
      </w:pP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05_pie_aqi_bucket.png"/>
                    <pic:cNvPicPr/>
                  </pic:nvPicPr>
                  <pic:blipFill>
                    <a:blip r:embed="rId13"/>
                    <a:stretch>
                      <a:fillRect/>
                    </a:stretch>
                  </pic:blipFill>
                  <pic:spPr>
                    <a:xfrm>
                      <a:off x="0" y="0"/>
                      <a:ext cx="4572000" cy="4572000"/>
                    </a:xfrm>
                    <a:prstGeom prst="rect"/>
                  </pic:spPr>
                </pic:pic>
              </a:graphicData>
            </a:graphic>
          </wp:inline>
        </w:drawing>
      </w:r>
    </w:p>
    <w:p>
      <w:pPr>
        <w:spacing w:after="200"/>
        <w:jc w:val="center"/>
      </w:pPr>
      <w:r>
        <w:rPr>
          <w:b w:val="0"/>
          <w:i/>
          <w:sz w:val="18"/>
        </w:rPr>
        <w:t>Figure 5: Pie chart: share of city-days in each AQI category</w:t>
      </w:r>
    </w:p>
    <w:p>
      <w:pPr>
        <w:jc w:val="center"/>
      </w:pPr>
      <w:r>
        <w:drawing>
          <wp:inline xmlns:a="http://schemas.openxmlformats.org/drawingml/2006/main" xmlns:pic="http://schemas.openxmlformats.org/drawingml/2006/picture">
            <wp:extent cx="5120640" cy="2926080"/>
            <wp:docPr id="6" name="Picture 6"/>
            <wp:cNvGraphicFramePr>
              <a:graphicFrameLocks noChangeAspect="1"/>
            </wp:cNvGraphicFramePr>
            <a:graphic>
              <a:graphicData uri="http://schemas.openxmlformats.org/drawingml/2006/picture">
                <pic:pic>
                  <pic:nvPicPr>
                    <pic:cNvPr id="0" name="06_line_monthly.png"/>
                    <pic:cNvPicPr/>
                  </pic:nvPicPr>
                  <pic:blipFill>
                    <a:blip r:embed="rId14"/>
                    <a:stretch>
                      <a:fillRect/>
                    </a:stretch>
                  </pic:blipFill>
                  <pic:spPr>
                    <a:xfrm>
                      <a:off x="0" y="0"/>
                      <a:ext cx="5120640" cy="2926080"/>
                    </a:xfrm>
                    <a:prstGeom prst="rect"/>
                  </pic:spPr>
                </pic:pic>
              </a:graphicData>
            </a:graphic>
          </wp:inline>
        </w:drawing>
      </w:r>
    </w:p>
    <w:p>
      <w:pPr>
        <w:spacing w:after="200"/>
        <w:jc w:val="center"/>
      </w:pPr>
      <w:r>
        <w:rPr>
          <w:b w:val="0"/>
          <w:i/>
          <w:sz w:val="18"/>
        </w:rPr>
        <w:t>Figure 6: Line chart: mean PM2.5 by calendar month (all cities)</w:t>
      </w:r>
    </w:p>
    <w:p>
      <w:pPr>
        <w:jc w:val="center"/>
      </w:pPr>
      <w:r>
        <w:drawing>
          <wp:inline xmlns:a="http://schemas.openxmlformats.org/drawingml/2006/main" xmlns:pic="http://schemas.openxmlformats.org/drawingml/2006/picture">
            <wp:extent cx="5120640" cy="2926080"/>
            <wp:docPr id="7" name="Picture 7"/>
            <wp:cNvGraphicFramePr>
              <a:graphicFrameLocks noChangeAspect="1"/>
            </wp:cNvGraphicFramePr>
            <a:graphic>
              <a:graphicData uri="http://schemas.openxmlformats.org/drawingml/2006/picture">
                <pic:pic>
                  <pic:nvPicPr>
                    <pic:cNvPr id="0" name="07_line_yearly.png"/>
                    <pic:cNvPicPr/>
                  </pic:nvPicPr>
                  <pic:blipFill>
                    <a:blip r:embed="rId15"/>
                    <a:stretch>
                      <a:fillRect/>
                    </a:stretch>
                  </pic:blipFill>
                  <pic:spPr>
                    <a:xfrm>
                      <a:off x="0" y="0"/>
                      <a:ext cx="5120640" cy="2926080"/>
                    </a:xfrm>
                    <a:prstGeom prst="rect"/>
                  </pic:spPr>
                </pic:pic>
              </a:graphicData>
            </a:graphic>
          </wp:inline>
        </w:drawing>
      </w:r>
    </w:p>
    <w:p>
      <w:pPr>
        <w:spacing w:after="200"/>
        <w:jc w:val="center"/>
      </w:pPr>
      <w:r>
        <w:rPr>
          <w:b w:val="0"/>
          <w:i/>
          <w:sz w:val="18"/>
        </w:rPr>
        <w:t>Figure 7: Line chart: yearly mean PM2.5 (2020 covers only part of the year)</w:t>
      </w:r>
    </w:p>
    <w:p>
      <w:pPr>
        <w:pStyle w:val="Heading2"/>
      </w:pPr>
      <w:r>
        <w:t>5.2 Seaborn</w:t>
      </w:r>
    </w:p>
    <w:p>
      <w:pPr>
        <w:jc w:val="center"/>
      </w:pPr>
      <w:r>
        <w:drawing>
          <wp:inline xmlns:a="http://schemas.openxmlformats.org/drawingml/2006/main" xmlns:pic="http://schemas.openxmlformats.org/drawingml/2006/picture">
            <wp:extent cx="4937760" cy="3174274"/>
            <wp:docPr id="8" name="Picture 8"/>
            <wp:cNvGraphicFramePr>
              <a:graphicFrameLocks noChangeAspect="1"/>
            </wp:cNvGraphicFramePr>
            <a:graphic>
              <a:graphicData uri="http://schemas.openxmlformats.org/drawingml/2006/picture">
                <pic:pic>
                  <pic:nvPicPr>
                    <pic:cNvPr id="0" name="08_box_season.png"/>
                    <pic:cNvPicPr/>
                  </pic:nvPicPr>
                  <pic:blipFill>
                    <a:blip r:embed="rId16"/>
                    <a:stretch>
                      <a:fillRect/>
                    </a:stretch>
                  </pic:blipFill>
                  <pic:spPr>
                    <a:xfrm>
                      <a:off x="0" y="0"/>
                      <a:ext cx="4937760" cy="3174274"/>
                    </a:xfrm>
                    <a:prstGeom prst="rect"/>
                  </pic:spPr>
                </pic:pic>
              </a:graphicData>
            </a:graphic>
          </wp:inline>
        </w:drawing>
      </w:r>
    </w:p>
    <w:p>
      <w:pPr>
        <w:spacing w:after="200"/>
        <w:jc w:val="center"/>
      </w:pPr>
      <w:r>
        <w:rPr>
          <w:b w:val="0"/>
          <w:i/>
          <w:sz w:val="18"/>
        </w:rPr>
        <w:t>Figure 8: Box plot: PM2.5 by season (outliers hidden for readability)</w:t>
      </w:r>
    </w:p>
    <w:p>
      <w:pPr>
        <w:jc w:val="center"/>
      </w:pPr>
      <w:r>
        <w:drawing>
          <wp:inline xmlns:a="http://schemas.openxmlformats.org/drawingml/2006/main" xmlns:pic="http://schemas.openxmlformats.org/drawingml/2006/picture">
            <wp:extent cx="4937760" cy="2777490"/>
            <wp:docPr id="9" name="Picture 9"/>
            <wp:cNvGraphicFramePr>
              <a:graphicFrameLocks noChangeAspect="1"/>
            </wp:cNvGraphicFramePr>
            <a:graphic>
              <a:graphicData uri="http://schemas.openxmlformats.org/drawingml/2006/picture">
                <pic:pic>
                  <pic:nvPicPr>
                    <pic:cNvPr id="0" name="09_violin_city.png"/>
                    <pic:cNvPicPr/>
                  </pic:nvPicPr>
                  <pic:blipFill>
                    <a:blip r:embed="rId17"/>
                    <a:stretch>
                      <a:fillRect/>
                    </a:stretch>
                  </pic:blipFill>
                  <pic:spPr>
                    <a:xfrm>
                      <a:off x="0" y="0"/>
                      <a:ext cx="4937760" cy="2777490"/>
                    </a:xfrm>
                    <a:prstGeom prst="rect"/>
                  </pic:spPr>
                </pic:pic>
              </a:graphicData>
            </a:graphic>
          </wp:inline>
        </w:drawing>
      </w:r>
    </w:p>
    <w:p>
      <w:pPr>
        <w:spacing w:after="200"/>
        <w:jc w:val="center"/>
      </w:pPr>
      <w:r>
        <w:rPr>
          <w:b w:val="0"/>
          <w:i/>
          <w:sz w:val="18"/>
        </w:rPr>
        <w:t>Figure 9: Violin plot: AQI distribution in the five most polluted cities</w:t>
      </w:r>
    </w:p>
    <w:p>
      <w:pPr>
        <w:jc w:val="center"/>
      </w:pPr>
      <w:r>
        <w:drawing>
          <wp:inline xmlns:a="http://schemas.openxmlformats.org/drawingml/2006/main" xmlns:pic="http://schemas.openxmlformats.org/drawingml/2006/picture">
            <wp:extent cx="5303520" cy="4124960"/>
            <wp:docPr id="10" name="Picture 10"/>
            <wp:cNvGraphicFramePr>
              <a:graphicFrameLocks noChangeAspect="1"/>
            </wp:cNvGraphicFramePr>
            <a:graphic>
              <a:graphicData uri="http://schemas.openxmlformats.org/drawingml/2006/picture">
                <pic:pic>
                  <pic:nvPicPr>
                    <pic:cNvPr id="0" name="10_heatmap_corr.png"/>
                    <pic:cNvPicPr/>
                  </pic:nvPicPr>
                  <pic:blipFill>
                    <a:blip r:embed="rId18"/>
                    <a:stretch>
                      <a:fillRect/>
                    </a:stretch>
                  </pic:blipFill>
                  <pic:spPr>
                    <a:xfrm>
                      <a:off x="0" y="0"/>
                      <a:ext cx="5303520" cy="4124960"/>
                    </a:xfrm>
                    <a:prstGeom prst="rect"/>
                  </pic:spPr>
                </pic:pic>
              </a:graphicData>
            </a:graphic>
          </wp:inline>
        </w:drawing>
      </w:r>
    </w:p>
    <w:p>
      <w:pPr>
        <w:spacing w:after="200"/>
        <w:jc w:val="center"/>
      </w:pPr>
      <w:r>
        <w:rPr>
          <w:b w:val="0"/>
          <w:i/>
          <w:sz w:val="18"/>
        </w:rPr>
        <w:t>Figure 10: Heatmap: correlation matrix of pollutants and AQI</w:t>
      </w:r>
    </w:p>
    <w:p>
      <w:pPr>
        <w:jc w:val="center"/>
      </w:pPr>
      <w:r>
        <w:drawing>
          <wp:inline xmlns:a="http://schemas.openxmlformats.org/drawingml/2006/main" xmlns:pic="http://schemas.openxmlformats.org/drawingml/2006/picture">
            <wp:extent cx="4937760" cy="2777490"/>
            <wp:docPr id="11" name="Picture 11"/>
            <wp:cNvGraphicFramePr>
              <a:graphicFrameLocks noChangeAspect="1"/>
            </wp:cNvGraphicFramePr>
            <a:graphic>
              <a:graphicData uri="http://schemas.openxmlformats.org/drawingml/2006/picture">
                <pic:pic>
                  <pic:nvPicPr>
                    <pic:cNvPr id="0" name="11_count_bucket_season.png"/>
                    <pic:cNvPicPr/>
                  </pic:nvPicPr>
                  <pic:blipFill>
                    <a:blip r:embed="rId19"/>
                    <a:stretch>
                      <a:fillRect/>
                    </a:stretch>
                  </pic:blipFill>
                  <pic:spPr>
                    <a:xfrm>
                      <a:off x="0" y="0"/>
                      <a:ext cx="4937760" cy="2777490"/>
                    </a:xfrm>
                    <a:prstGeom prst="rect"/>
                  </pic:spPr>
                </pic:pic>
              </a:graphicData>
            </a:graphic>
          </wp:inline>
        </w:drawing>
      </w:r>
    </w:p>
    <w:p>
      <w:pPr>
        <w:spacing w:after="200"/>
        <w:jc w:val="center"/>
      </w:pPr>
      <w:r>
        <w:rPr>
          <w:b w:val="0"/>
          <w:i/>
          <w:sz w:val="18"/>
        </w:rPr>
        <w:t>Figure 11: Count plot: number of days in each AQI category, by season</w:t>
      </w:r>
    </w:p>
    <w:p>
      <w:pPr>
        <w:jc w:val="center"/>
      </w:pPr>
      <w:r>
        <w:drawing>
          <wp:inline xmlns:a="http://schemas.openxmlformats.org/drawingml/2006/main" xmlns:pic="http://schemas.openxmlformats.org/drawingml/2006/picture">
            <wp:extent cx="4937760" cy="5134807"/>
            <wp:docPr id="12" name="Picture 12"/>
            <wp:cNvGraphicFramePr>
              <a:graphicFrameLocks noChangeAspect="1"/>
            </wp:cNvGraphicFramePr>
            <a:graphic>
              <a:graphicData uri="http://schemas.openxmlformats.org/drawingml/2006/picture">
                <pic:pic>
                  <pic:nvPicPr>
                    <pic:cNvPr id="0" name="12_pairplot.png"/>
                    <pic:cNvPicPr/>
                  </pic:nvPicPr>
                  <pic:blipFill>
                    <a:blip r:embed="rId20"/>
                    <a:stretch>
                      <a:fillRect/>
                    </a:stretch>
                  </pic:blipFill>
                  <pic:spPr>
                    <a:xfrm>
                      <a:off x="0" y="0"/>
                      <a:ext cx="4937760" cy="5134807"/>
                    </a:xfrm>
                    <a:prstGeom prst="rect"/>
                  </pic:spPr>
                </pic:pic>
              </a:graphicData>
            </a:graphic>
          </wp:inline>
        </w:drawing>
      </w:r>
    </w:p>
    <w:p>
      <w:pPr>
        <w:spacing w:after="200"/>
        <w:jc w:val="center"/>
      </w:pPr>
      <w:r>
        <w:rPr>
          <w:b w:val="0"/>
          <w:i/>
          <w:sz w:val="18"/>
        </w:rPr>
        <w:t>Figure 12: Pair plot: PM2.5, PM10, NO2 and CO</w:t>
      </w:r>
    </w:p>
    <w:p>
      <w:pPr>
        <w:jc w:val="center"/>
      </w:pPr>
      <w:r>
        <w:drawing>
          <wp:inline xmlns:a="http://schemas.openxmlformats.org/drawingml/2006/main" xmlns:pic="http://schemas.openxmlformats.org/drawingml/2006/picture">
            <wp:extent cx="5303520" cy="2946400"/>
            <wp:docPr id="13" name="Picture 13"/>
            <wp:cNvGraphicFramePr>
              <a:graphicFrameLocks noChangeAspect="1"/>
            </wp:cNvGraphicFramePr>
            <a:graphic>
              <a:graphicData uri="http://schemas.openxmlformats.org/drawingml/2006/picture">
                <pic:pic>
                  <pic:nvPicPr>
                    <pic:cNvPr id="0" name="13_heatmap_city_month.png"/>
                    <pic:cNvPicPr/>
                  </pic:nvPicPr>
                  <pic:blipFill>
                    <a:blip r:embed="rId21"/>
                    <a:stretch>
                      <a:fillRect/>
                    </a:stretch>
                  </pic:blipFill>
                  <pic:spPr>
                    <a:xfrm>
                      <a:off x="0" y="0"/>
                      <a:ext cx="5303520" cy="2946400"/>
                    </a:xfrm>
                    <a:prstGeom prst="rect"/>
                  </pic:spPr>
                </pic:pic>
              </a:graphicData>
            </a:graphic>
          </wp:inline>
        </w:drawing>
      </w:r>
    </w:p>
    <w:p>
      <w:pPr>
        <w:spacing w:after="200"/>
        <w:jc w:val="center"/>
      </w:pPr>
      <w:r>
        <w:rPr>
          <w:b w:val="0"/>
          <w:i/>
          <w:sz w:val="18"/>
        </w:rPr>
        <w:t>Figure 13: Heatmap: mean PM2.5 by city and month (ten cities with most data)</w:t>
      </w:r>
    </w:p>
    <w:p>
      <w:pPr>
        <w:pStyle w:val="Heading2"/>
      </w:pPr>
      <w:r>
        <w:t>5.3 Lockdown and model charts</w:t>
      </w:r>
    </w:p>
    <w:p>
      <w:pPr>
        <w:jc w:val="center"/>
      </w:pPr>
      <w:r>
        <w:drawing>
          <wp:inline xmlns:a="http://schemas.openxmlformats.org/drawingml/2006/main" xmlns:pic="http://schemas.openxmlformats.org/drawingml/2006/picture">
            <wp:extent cx="4572000" cy="2571750"/>
            <wp:docPr id="14" name="Picture 14"/>
            <wp:cNvGraphicFramePr>
              <a:graphicFrameLocks noChangeAspect="1"/>
            </wp:cNvGraphicFramePr>
            <a:graphic>
              <a:graphicData uri="http://schemas.openxmlformats.org/drawingml/2006/picture">
                <pic:pic>
                  <pic:nvPicPr>
                    <pic:cNvPr id="0" name="14_bar_lockdown.png"/>
                    <pic:cNvPicPr/>
                  </pic:nvPicPr>
                  <pic:blipFill>
                    <a:blip r:embed="rId22"/>
                    <a:stretch>
                      <a:fillRect/>
                    </a:stretch>
                  </pic:blipFill>
                  <pic:spPr>
                    <a:xfrm>
                      <a:off x="0" y="0"/>
                      <a:ext cx="4572000" cy="2571750"/>
                    </a:xfrm>
                    <a:prstGeom prst="rect"/>
                  </pic:spPr>
                </pic:pic>
              </a:graphicData>
            </a:graphic>
          </wp:inline>
        </w:drawing>
      </w:r>
    </w:p>
    <w:p>
      <w:pPr>
        <w:spacing w:after="200"/>
        <w:jc w:val="center"/>
      </w:pPr>
      <w:r>
        <w:rPr>
          <w:b w:val="0"/>
          <w:i/>
          <w:sz w:val="18"/>
        </w:rPr>
        <w:t>Figure 14: Grouped bar chart: PM2.5 in the lockdown window, 2019 vs 2020</w:t>
      </w:r>
    </w:p>
    <w:p>
      <w:pPr>
        <w:jc w:val="center"/>
      </w:pPr>
      <w:r>
        <w:drawing>
          <wp:inline xmlns:a="http://schemas.openxmlformats.org/drawingml/2006/main" xmlns:pic="http://schemas.openxmlformats.org/drawingml/2006/picture">
            <wp:extent cx="4572000" cy="4572000"/>
            <wp:docPr id="15" name="Picture 15"/>
            <wp:cNvGraphicFramePr>
              <a:graphicFrameLocks noChangeAspect="1"/>
            </wp:cNvGraphicFramePr>
            <a:graphic>
              <a:graphicData uri="http://schemas.openxmlformats.org/drawingml/2006/picture">
                <pic:pic>
                  <pic:nvPicPr>
                    <pic:cNvPr id="0" name="15_model_pred.png"/>
                    <pic:cNvPicPr/>
                  </pic:nvPicPr>
                  <pic:blipFill>
                    <a:blip r:embed="rId23"/>
                    <a:stretch>
                      <a:fillRect/>
                    </a:stretch>
                  </pic:blipFill>
                  <pic:spPr>
                    <a:xfrm>
                      <a:off x="0" y="0"/>
                      <a:ext cx="4572000" cy="4572000"/>
                    </a:xfrm>
                    <a:prstGeom prst="rect"/>
                  </pic:spPr>
                </pic:pic>
              </a:graphicData>
            </a:graphic>
          </wp:inline>
        </w:drawing>
      </w:r>
    </w:p>
    <w:p>
      <w:pPr>
        <w:spacing w:after="200"/>
        <w:jc w:val="center"/>
      </w:pPr>
      <w:r>
        <w:rPr>
          <w:b w:val="0"/>
          <w:i/>
          <w:sz w:val="18"/>
        </w:rPr>
        <w:t>Figure 15: Scatter plot: predicted against actual next-day PM2.5 on the test set</w:t>
      </w:r>
    </w:p>
    <w:p>
      <w:pPr>
        <w:pStyle w:val="Heading1"/>
      </w:pPr>
      <w:r>
        <w:t>6. Findings</w:t>
      </w:r>
    </w:p>
    <w:p>
      <w:pPr>
        <w:pStyle w:val="ListNumber"/>
      </w:pPr>
      <w:r>
        <w:t>26.0% of all city-days fall in the Poor, Very Poor or Severe AQI categories, while only 5.4% are rated Good.</w:t>
      </w:r>
    </w:p>
    <w:p>
      <w:pPr>
        <w:pStyle w:val="ListNumber"/>
      </w:pPr>
      <w:r>
        <w:t>Ahmedabad has the highest mean AQI (452.1) among the 19 cities with at least a year of data, while Thiruvananthapuram has the lowest (75.9). Ahmedabad has the largest share of Poor-or-worse days (81.9%).</w:t>
      </w:r>
    </w:p>
    <w:p>
      <w:pPr>
        <w:pStyle w:val="ListNumber"/>
      </w:pPr>
      <w:r>
        <w:t>Pollution varies with the season: mean PM2.5 is highest in Winter and lowest in Monsoon, a 2.58x difference. The worst month on average is November and the best is August.</w:t>
      </w:r>
    </w:p>
    <w:p>
      <w:pPr>
        <w:pStyle w:val="ListNumber"/>
      </w:pPr>
      <w:r>
        <w:t>The seasonal difference is statistically significant (Kruskal-Wallis H = 6423.9, p &lt; 0.001).</w:t>
      </w:r>
    </w:p>
    <w:p>
      <w:pPr>
        <w:pStyle w:val="ListNumber"/>
      </w:pPr>
      <w:r>
        <w:t>AQI is most strongly correlated with PM10 (r = 0.8), followed by CO (r = 0.68) and PM2.5 (r = 0.66).</w:t>
      </w:r>
    </w:p>
    <w:p>
      <w:pPr>
        <w:pStyle w:val="ListNumber"/>
      </w:pPr>
      <w:r>
        <w:t>PM2.5 and PM10 move together (Spearman rho = 0.873), and the median PM2.5 reading is about 47% of the PM10 reading on the same day.</w:t>
      </w:r>
    </w:p>
    <w:p>
      <w:pPr>
        <w:pStyle w:val="ListNumber"/>
      </w:pPr>
      <w:r>
        <w:t>Average PM2.5 across cities was 75.1 µg/m³ in 2015 and 43.7 µg/m³ in 2020 (the final year is partial). The number of reporting cities changes over the years, so this trend should be read cautiously.</w:t>
      </w:r>
    </w:p>
    <w:p>
      <w:pPr>
        <w:pStyle w:val="ListNumber"/>
      </w:pPr>
      <w:r>
        <w:t>In the COVID-19 lockdown window (25 Mar - 30 Apr), mean PM2.5 fell by 38.3% compared with the same dates in 2019 (55.0 to 33.9 µg/m³; 17 of 19 cities improved). A Wilcoxon signed-rank test on city means shows this is significant (p &lt; 0.001).</w:t>
      </w:r>
    </w:p>
    <w:p>
      <w:pPr>
        <w:pStyle w:val="ListNumber"/>
      </w:pPr>
      <w:r>
        <w:t>A random forest predicts next-day PM2.5 with R² = 0.726 and MAE = 9.57 µg/m³ on unseen later dates, compared with R² = 0.742 and MAE = 8.81 for the simple 'tomorrow equals today' baseline.</w:t>
      </w:r>
    </w:p>
    <w:p>
      <w:pPr>
        <w:pStyle w:val="Heading1"/>
      </w:pPr>
      <w:r>
        <w:t>7. Conclusion</w:t>
      </w:r>
    </w:p>
    <w:p>
      <w:pPr>
        <w:spacing w:after="120"/>
      </w:pPr>
      <w:r>
        <w:rPr>
          <w:b w:val="0"/>
          <w:i w:val="0"/>
        </w:rPr>
        <w:t>Winter has the highest PM2.5 levels and Monsoon the lowest, a 2.58x difference (Kruskal-Wallis p &lt; 0.001). 26.0% of recorded city-days were Poor or worse, and Ahmedabad was the most polluted city on average (mean AQI 452.1). AQI follows particulate matter most closely.</w:t>
      </w:r>
    </w:p>
    <w:p>
      <w:pPr>
        <w:spacing w:after="120"/>
      </w:pPr>
      <w:r>
        <w:rPr>
          <w:b w:val="0"/>
          <w:i w:val="0"/>
        </w:rPr>
        <w:t>The prediction model did not beat the simple 'tomorrow equals today' baseline, which suggests day-to-day PM2.5 is mostly explained by today's PM2.5 alone.</w:t>
      </w:r>
    </w:p>
    <w:p>
      <w:pPr>
        <w:spacing w:after="120"/>
      </w:pPr>
      <w:r>
        <w:rPr>
          <w:b w:val="0"/>
          <w:i w:val="0"/>
        </w:rPr>
        <w:t>Limitations: the dataset has many missing values (only short gaps were filled), monitoring stations differ between cities and years, and the analysis shows association, not cause. Weather data such as wind and rainfall would improve both the analysis and the model.</w:t>
      </w:r>
    </w:p>
    <w:p>
      <w:pPr>
        <w:spacing w:after="120"/>
      </w:pPr>
      <w:r>
        <w:rPr>
          <w:b w:val="0"/>
          <w:i/>
        </w:rPr>
        <w:t>Source code, data and charts are available in the accompanying GitHub repository.</w:t>
      </w:r>
    </w:p>
    <w:sectPr w:rsidR="00FC693F" w:rsidRPr="0006063C" w:rsidSect="00034616">
      <w:pgSz w:w="11909" w:h="16834"/>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