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E9B94"/>
          <w:sz w:val="18"/>
        </w:rPr>
        <w:t>VERSO AIR™</w:t>
      </w:r>
    </w:p>
    <w:p>
      <w:pPr>
        <w:spacing w:after="40"/>
      </w:pPr>
      <w:r>
        <w:rPr>
          <w:b/>
          <w:color w:val="0F2A44"/>
          <w:sz w:val="60"/>
        </w:rPr>
        <w:t>Launch Checklist</w:t>
      </w:r>
    </w:p>
    <w:p>
      <w:pPr>
        <w:spacing w:after="80"/>
      </w:pPr>
      <w:r>
        <w:rPr>
          <w:i/>
          <w:color w:val="5A6B7D"/>
          <w:sz w:val="24"/>
        </w:rPr>
        <w:t>From starting line to public launch — what to fix, build, and prove, in order.</w:t>
      </w:r>
    </w:p>
    <w:p>
      <w:pPr>
        <w:spacing w:before="40" w:after="160"/>
        <w:pBdr>
          <w:bottom w:val="single" w:sz="14" w:space="1" w:color="0E9B94"/>
        </w:pBdr>
      </w:pP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376"/>
            <w:vAlign w:val="center"/>
            <w:shd w:fill="0F2A44"/>
          </w:tcPr>
          <w:p>
            <w:pPr>
              <w:spacing w:after="20" w:before="20"/>
            </w:pPr>
            <w:r/>
            <w:r>
              <w:rPr>
                <w:rFonts w:ascii="Calibri" w:hAnsi="Calibri"/>
                <w:b/>
                <w:color w:val="FFFFFF"/>
                <w:sz w:val="16"/>
              </w:rPr>
              <w:t>Prepared for</w:t>
            </w:r>
          </w:p>
        </w:tc>
        <w:tc>
          <w:tcPr>
            <w:tcW w:type="dxa" w:w="3384"/>
            <w:vAlign w:val="center"/>
            <w:shd w:fill="0F2A44"/>
          </w:tcPr>
          <w:p>
            <w:pPr>
              <w:spacing w:after="20" w:before="20"/>
            </w:pPr>
            <w:r/>
            <w:r>
              <w:rPr>
                <w:rFonts w:ascii="Calibri" w:hAnsi="Calibri"/>
                <w:b/>
                <w:color w:val="FFFFFF"/>
                <w:sz w:val="16"/>
              </w:rPr>
              <w:t>Basis</w:t>
            </w:r>
          </w:p>
        </w:tc>
        <w:tc>
          <w:tcPr>
            <w:tcW w:type="dxa" w:w="3384"/>
            <w:vAlign w:val="center"/>
            <w:shd w:fill="0F2A44"/>
          </w:tcPr>
          <w:p>
            <w:pPr>
              <w:spacing w:after="20" w:before="20"/>
            </w:pPr>
            <w:r/>
            <w:r>
              <w:rPr>
                <w:rFonts w:ascii="Calibri" w:hAnsi="Calibri"/>
                <w:b/>
                <w:color w:val="FFFFFF"/>
                <w:sz w:val="16"/>
              </w:rPr>
              <w:t>Status at audit</w:t>
            </w:r>
          </w:p>
        </w:tc>
        <w:tc>
          <w:tcPr>
            <w:tcW w:type="dxa" w:w="1512"/>
            <w:vAlign w:val="center"/>
            <w:shd w:fill="0F2A44"/>
          </w:tcPr>
          <w:p>
            <w:pPr>
              <w:spacing w:after="20" w:before="20"/>
            </w:pPr>
            <w:r/>
            <w:r>
              <w:rPr>
                <w:rFonts w:ascii="Calibri" w:hAnsi="Calibri"/>
                <w:b/>
                <w:color w:val="FFFFFF"/>
                <w:sz w:val="16"/>
              </w:rPr>
              <w:t>Date</w:t>
            </w:r>
          </w:p>
        </w:tc>
      </w:tr>
      <w:tr>
        <w:tc>
          <w:tcPr>
            <w:tcW w:type="dxa" w:w="2592"/>
            <w:vAlign w:val="center"/>
          </w:tcPr>
          <w:p>
            <w:pPr>
              <w:spacing w:after="20" w:before="20"/>
            </w:pPr>
            <w:r/>
            <w:r>
              <w:rPr>
                <w:rFonts w:ascii="Calibri" w:hAnsi="Calibri"/>
                <w:b w:val="0"/>
                <w:sz w:val="16"/>
              </w:rPr>
              <w:t>Luq — Owner / Builder, Verso Air™</w:t>
            </w:r>
          </w:p>
        </w:tc>
        <w:tc>
          <w:tcPr>
            <w:tcW w:type="dxa" w:w="2592"/>
            <w:vAlign w:val="center"/>
          </w:tcPr>
          <w:p>
            <w:pPr>
              <w:spacing w:after="20" w:before="20"/>
            </w:pPr>
            <w:r/>
            <w:r>
              <w:rPr>
                <w:rFonts w:ascii="Calibri" w:hAnsi="Calibri"/>
                <w:b w:val="0"/>
                <w:sz w:val="16"/>
              </w:rPr>
              <w:t>Full site walkthrough + external check (WHOIS, footprint) on 2026-10-06</w:t>
            </w:r>
          </w:p>
        </w:tc>
        <w:tc>
          <w:tcPr>
            <w:tcW w:type="dxa" w:w="2592"/>
            <w:vAlign w:val="center"/>
          </w:tcPr>
          <w:p>
            <w:pPr>
              <w:spacing w:after="20" w:before="20"/>
            </w:pPr>
            <w:r/>
            <w:r>
              <w:rPr>
                <w:rFonts w:ascii="Calibri" w:hAnsi="Calibri"/>
                <w:b w:val="0"/>
                <w:sz w:val="16"/>
              </w:rPr>
              <w:t>Domain (registered 2026-10-05) and code exist; listings, docs, search and proof points are still to be built</w:t>
            </w:r>
          </w:p>
        </w:tc>
        <w:tc>
          <w:tcPr>
            <w:tcW w:type="dxa" w:w="2592"/>
            <w:vAlign w:val="center"/>
          </w:tcPr>
          <w:p>
            <w:pPr>
              <w:spacing w:after="20" w:before="20"/>
            </w:pPr>
            <w:r/>
            <w:r>
              <w:rPr>
                <w:rFonts w:ascii="Calibri" w:hAnsi="Calibri"/>
                <w:b w:val="0"/>
                <w:sz w:val="16"/>
              </w:rPr>
              <w:t>6 October 2026</w:t>
            </w:r>
          </w:p>
        </w:tc>
      </w:tr>
    </w:tbl>
    <w:p>
      <w:pPr>
        <w:spacing w:after="40"/>
      </w:pPr>
    </w:p>
    <w:tbl>
      <w:tblPr>
        <w:tblW w:type="auto" w:w="0"/>
        <w:jc w:val="center"/>
        <w:tblLook w:firstColumn="1" w:firstRow="1" w:lastColumn="0" w:lastRow="0" w:noHBand="0" w:noVBand="1" w:val="04A0"/>
      </w:tblPr>
      <w:tblGrid>
        <w:gridCol w:w="10368"/>
      </w:tblGrid>
      <w:tr>
        <w:tc>
          <w:tcPr>
            <w:tcW w:type="dxa" w:w="10368"/>
            <w:shd w:fill="FFF4E8"/>
          </w:tcPr>
          <w:p>
            <w:r>
              <w:rPr>
                <w:i/>
                <w:color w:val="7A3B14"/>
                <w:sz w:val="17"/>
              </w:rPr>
              <w:t>How to use this list: Work top to bottom. Do not promote the site publicly until every Priority 1 item and every Launch Gate is checked. Tick the ☐ column as you go; add an owner and date in the last column.</w:t>
            </w:r>
          </w:p>
        </w:tc>
      </w:tr>
    </w:tbl>
    <w:p>
      <w:pPr>
        <w:spacing w:after="40"/>
      </w:pPr>
    </w:p>
    <w:p>
      <w:pPr>
        <w:pStyle w:val="Heading1"/>
      </w:pPr>
      <w:r>
        <w:t>At a glance — where things stand</w:t>
      </w:r>
    </w:p>
    <w:p>
      <w:pPr>
        <w:spacing w:after="80"/>
      </w:pPr>
      <w:r>
        <w:rPr>
          <w:i w:val="0"/>
          <w:sz w:val="19"/>
        </w:rPr>
        <w:t>Verso Air is a bilingual (French/English) business-intelligence platform with real breadth already built: homepage, about, services, reservations, marketplace, marketing hub, help centre, pricing and sector pages. The structure is there. The launch work is about removing placeholder signals, filling the directories with real data, and backing up public claims.</w:t>
      </w:r>
    </w:p>
    <w:tbl>
      <w:tblPr>
        <w:tblW w:type="auto" w:w="0"/>
        <w:jc w:val="center"/>
        <w:tblLayout w:type="fixed"/>
        <w:tblLook w:firstColumn="1" w:firstRow="1" w:lastColumn="0" w:lastRow="0" w:noHBand="0" w:noVBand="1" w:val="04A0"/>
      </w:tblPr>
      <w:tblGrid>
        <w:gridCol w:w="3456"/>
        <w:gridCol w:w="3456"/>
        <w:gridCol w:w="3456"/>
      </w:tblGrid>
      <w:tr>
        <w:tc>
          <w:tcPr>
            <w:tcW w:type="dxa" w:w="2088"/>
            <w:vAlign w:val="center"/>
            <w:shd w:fill="0F2A44"/>
          </w:tcPr>
          <w:p>
            <w:pPr>
              <w:spacing w:after="20" w:before="20"/>
            </w:pPr>
            <w:r/>
            <w:r>
              <w:rPr>
                <w:rFonts w:ascii="Calibri" w:hAnsi="Calibri"/>
                <w:b/>
                <w:color w:val="FFFFFF"/>
                <w:sz w:val="16"/>
              </w:rPr>
              <w:t>Area</w:t>
            </w:r>
          </w:p>
        </w:tc>
        <w:tc>
          <w:tcPr>
            <w:tcW w:type="dxa" w:w="4896"/>
            <w:vAlign w:val="center"/>
            <w:shd w:fill="0F2A44"/>
          </w:tcPr>
          <w:p>
            <w:pPr>
              <w:spacing w:after="20" w:before="20"/>
            </w:pPr>
            <w:r/>
            <w:r>
              <w:rPr>
                <w:rFonts w:ascii="Calibri" w:hAnsi="Calibri"/>
                <w:b/>
                <w:color w:val="FFFFFF"/>
                <w:sz w:val="16"/>
              </w:rPr>
              <w:t>What exists today</w:t>
            </w:r>
          </w:p>
        </w:tc>
        <w:tc>
          <w:tcPr>
            <w:tcW w:type="dxa" w:w="2232"/>
            <w:vAlign w:val="center"/>
            <w:shd w:fill="0F2A44"/>
          </w:tcPr>
          <w:p>
            <w:pPr>
              <w:spacing w:after="20" w:before="20"/>
            </w:pPr>
            <w:r/>
            <w:r>
              <w:rPr>
                <w:rFonts w:ascii="Calibri" w:hAnsi="Calibri"/>
                <w:b/>
                <w:color w:val="FFFFFF"/>
                <w:sz w:val="16"/>
              </w:rPr>
              <w:t>Launch risk</w:t>
            </w:r>
          </w:p>
        </w:tc>
      </w:tr>
      <w:tr>
        <w:tc>
          <w:tcPr>
            <w:tcW w:type="dxa" w:w="3456"/>
            <w:vAlign w:val="center"/>
          </w:tcPr>
          <w:p>
            <w:pPr>
              <w:spacing w:after="20" w:before="20"/>
            </w:pPr>
            <w:r/>
            <w:r>
              <w:rPr>
                <w:rFonts w:ascii="Calibri" w:hAnsi="Calibri"/>
                <w:b w:val="0"/>
                <w:sz w:val="16"/>
              </w:rPr>
              <w:t>Site structure</w:t>
            </w:r>
          </w:p>
        </w:tc>
        <w:tc>
          <w:tcPr>
            <w:tcW w:type="dxa" w:w="3456"/>
            <w:vAlign w:val="center"/>
          </w:tcPr>
          <w:p>
            <w:pPr>
              <w:spacing w:after="20" w:before="20"/>
            </w:pPr>
            <w:r/>
            <w:r>
              <w:rPr>
                <w:rFonts w:ascii="Calibri" w:hAnsi="Calibri"/>
                <w:b w:val="0"/>
                <w:sz w:val="16"/>
              </w:rPr>
              <w:t>Homepage, 8 sector dashboards, services, pricing, reservations, market</w:t>
            </w:r>
          </w:p>
        </w:tc>
        <w:tc>
          <w:tcPr>
            <w:tcW w:type="dxa" w:w="3456"/>
            <w:vAlign w:val="center"/>
          </w:tcPr>
          <w:p>
            <w:pPr>
              <w:spacing w:after="20" w:before="20"/>
            </w:pPr>
            <w:r/>
            <w:r>
              <w:rPr>
                <w:rFonts w:ascii="Calibri" w:hAnsi="Calibri"/>
                <w:b w:val="0"/>
                <w:sz w:val="16"/>
              </w:rPr>
              <w:t>Low — keep</w:t>
            </w:r>
          </w:p>
        </w:tc>
      </w:tr>
      <w:tr>
        <w:tc>
          <w:tcPr>
            <w:tcW w:type="dxa" w:w="3456"/>
            <w:vAlign w:val="center"/>
            <w:shd w:fill="F2F5F8"/>
          </w:tcPr>
          <w:p>
            <w:pPr>
              <w:spacing w:after="20" w:before="20"/>
            </w:pPr>
            <w:r/>
            <w:r>
              <w:rPr>
                <w:rFonts w:ascii="Calibri" w:hAnsi="Calibri"/>
                <w:b w:val="0"/>
                <w:sz w:val="16"/>
              </w:rPr>
              <w:t>Listings / data</w:t>
            </w:r>
          </w:p>
        </w:tc>
        <w:tc>
          <w:tcPr>
            <w:tcW w:type="dxa" w:w="3456"/>
            <w:vAlign w:val="center"/>
            <w:shd w:fill="F2F5F8"/>
          </w:tcPr>
          <w:p>
            <w:pPr>
              <w:spacing w:after="20" w:before="20"/>
            </w:pPr>
            <w:r/>
            <w:r>
              <w:rPr>
                <w:rFonts w:ascii="Calibri" w:hAnsi="Calibri"/>
                <w:b w:val="0"/>
                <w:sz w:val="16"/>
              </w:rPr>
              <w:t>1–3 listings per sector; Finance and trade at zero; seeded addresses</w:t>
            </w:r>
          </w:p>
        </w:tc>
        <w:tc>
          <w:tcPr>
            <w:tcW w:type="dxa" w:w="3456"/>
            <w:vAlign w:val="center"/>
            <w:shd w:fill="F2F5F8"/>
          </w:tcPr>
          <w:p>
            <w:pPr>
              <w:spacing w:after="20" w:before="20"/>
            </w:pPr>
            <w:r/>
            <w:r>
              <w:rPr>
                <w:rFonts w:ascii="Calibri" w:hAnsi="Calibri"/>
                <w:b w:val="0"/>
                <w:sz w:val="16"/>
              </w:rPr>
              <w:t>High — core promise</w:t>
            </w:r>
          </w:p>
        </w:tc>
      </w:tr>
      <w:tr>
        <w:tc>
          <w:tcPr>
            <w:tcW w:type="dxa" w:w="3456"/>
            <w:vAlign w:val="center"/>
          </w:tcPr>
          <w:p>
            <w:pPr>
              <w:spacing w:after="20" w:before="20"/>
            </w:pPr>
            <w:r/>
            <w:r>
              <w:rPr>
                <w:rFonts w:ascii="Calibri" w:hAnsi="Calibri"/>
                <w:b w:val="0"/>
                <w:sz w:val="16"/>
              </w:rPr>
              <w:t>Search &amp; demos</w:t>
            </w:r>
          </w:p>
        </w:tc>
        <w:tc>
          <w:tcPr>
            <w:tcW w:type="dxa" w:w="3456"/>
            <w:vAlign w:val="center"/>
          </w:tcPr>
          <w:p>
            <w:pPr>
              <w:spacing w:after="20" w:before="20"/>
            </w:pPr>
            <w:r/>
            <w:r>
              <w:rPr>
                <w:rFonts w:ascii="Calibri" w:hAnsi="Calibri"/>
                <w:b w:val="0"/>
                <w:sz w:val="16"/>
              </w:rPr>
              <w:t>FAQ-only search; GPS panel with mock landmarks; empty flyouts</w:t>
            </w:r>
          </w:p>
        </w:tc>
        <w:tc>
          <w:tcPr>
            <w:tcW w:type="dxa" w:w="3456"/>
            <w:vAlign w:val="center"/>
          </w:tcPr>
          <w:p>
            <w:pPr>
              <w:spacing w:after="20" w:before="20"/>
            </w:pPr>
            <w:r/>
            <w:r>
              <w:rPr>
                <w:rFonts w:ascii="Calibri" w:hAnsi="Calibri"/>
                <w:b w:val="0"/>
                <w:sz w:val="16"/>
              </w:rPr>
              <w:t>High — looks broken</w:t>
            </w:r>
          </w:p>
        </w:tc>
      </w:tr>
      <w:tr>
        <w:tc>
          <w:tcPr>
            <w:tcW w:type="dxa" w:w="3456"/>
            <w:vAlign w:val="center"/>
            <w:shd w:fill="F2F5F8"/>
          </w:tcPr>
          <w:p>
            <w:pPr>
              <w:spacing w:after="20" w:before="20"/>
            </w:pPr>
            <w:r/>
            <w:r>
              <w:rPr>
                <w:rFonts w:ascii="Calibri" w:hAnsi="Calibri"/>
                <w:b w:val="0"/>
                <w:sz w:val="16"/>
              </w:rPr>
              <w:t>Documentation</w:t>
            </w:r>
          </w:p>
        </w:tc>
        <w:tc>
          <w:tcPr>
            <w:tcW w:type="dxa" w:w="3456"/>
            <w:vAlign w:val="center"/>
            <w:shd w:fill="F2F5F8"/>
          </w:tcPr>
          <w:p>
            <w:pPr>
              <w:spacing w:after="20" w:before="20"/>
            </w:pPr>
            <w:r/>
            <w:r>
              <w:rPr>
                <w:rFonts w:ascii="Calibri" w:hAnsi="Calibri"/>
                <w:b w:val="0"/>
                <w:sz w:val="16"/>
              </w:rPr>
              <w:t>/docs redirects to homepage</w:t>
            </w:r>
          </w:p>
        </w:tc>
        <w:tc>
          <w:tcPr>
            <w:tcW w:type="dxa" w:w="3456"/>
            <w:vAlign w:val="center"/>
            <w:shd w:fill="F2F5F8"/>
          </w:tcPr>
          <w:p>
            <w:pPr>
              <w:spacing w:after="20" w:before="20"/>
            </w:pPr>
            <w:r/>
            <w:r>
              <w:rPr>
                <w:rFonts w:ascii="Calibri" w:hAnsi="Calibri"/>
                <w:b w:val="0"/>
                <w:sz w:val="16"/>
              </w:rPr>
              <w:t>Medium — trust</w:t>
            </w:r>
          </w:p>
        </w:tc>
      </w:tr>
      <w:tr>
        <w:tc>
          <w:tcPr>
            <w:tcW w:type="dxa" w:w="3456"/>
            <w:vAlign w:val="center"/>
          </w:tcPr>
          <w:p>
            <w:pPr>
              <w:spacing w:after="20" w:before="20"/>
            </w:pPr>
            <w:r/>
            <w:r>
              <w:rPr>
                <w:rFonts w:ascii="Calibri" w:hAnsi="Calibri"/>
                <w:b w:val="0"/>
                <w:sz w:val="16"/>
              </w:rPr>
              <w:t>Claims &amp; proof</w:t>
            </w:r>
          </w:p>
        </w:tc>
        <w:tc>
          <w:tcPr>
            <w:tcW w:type="dxa" w:w="3456"/>
            <w:vAlign w:val="center"/>
          </w:tcPr>
          <w:p>
            <w:pPr>
              <w:spacing w:after="20" w:before="20"/>
            </w:pPr>
            <w:r/>
            <w:r>
              <w:rPr>
                <w:rFonts w:ascii="Calibri" w:hAnsi="Calibri"/>
                <w:b w:val="0"/>
                <w:sz w:val="16"/>
              </w:rPr>
              <w:t>500+ users, UNESCO / World Bank / AU, 10,000 artisans, $500K raised — uncorroborated off-site</w:t>
            </w:r>
          </w:p>
        </w:tc>
        <w:tc>
          <w:tcPr>
            <w:tcW w:type="dxa" w:w="3456"/>
            <w:vAlign w:val="center"/>
          </w:tcPr>
          <w:p>
            <w:pPr>
              <w:spacing w:after="20" w:before="20"/>
            </w:pPr>
            <w:r/>
            <w:r>
              <w:rPr>
                <w:rFonts w:ascii="Calibri" w:hAnsi="Calibri"/>
                <w:b w:val="0"/>
                <w:sz w:val="16"/>
              </w:rPr>
              <w:t>High — reputational</w:t>
            </w:r>
          </w:p>
        </w:tc>
      </w:tr>
      <w:tr>
        <w:tc>
          <w:tcPr>
            <w:tcW w:type="dxa" w:w="3456"/>
            <w:vAlign w:val="center"/>
            <w:shd w:fill="F2F5F8"/>
          </w:tcPr>
          <w:p>
            <w:pPr>
              <w:spacing w:after="20" w:before="20"/>
            </w:pPr>
            <w:r/>
            <w:r>
              <w:rPr>
                <w:rFonts w:ascii="Calibri" w:hAnsi="Calibri"/>
                <w:b w:val="0"/>
                <w:sz w:val="16"/>
              </w:rPr>
              <w:t>Contact &amp; identity</w:t>
            </w:r>
          </w:p>
        </w:tc>
        <w:tc>
          <w:tcPr>
            <w:tcW w:type="dxa" w:w="3456"/>
            <w:vAlign w:val="center"/>
            <w:shd w:fill="F2F5F8"/>
          </w:tcPr>
          <w:p>
            <w:pPr>
              <w:spacing w:after="20" w:before="20"/>
            </w:pPr>
            <w:r/>
            <w:r>
              <w:rPr>
                <w:rFonts w:ascii="Calibri" w:hAnsi="Calibri"/>
                <w:b w:val="0"/>
                <w:sz w:val="16"/>
              </w:rPr>
              <w:t>555 numbers, no street address, one-day-old domain</w:t>
            </w:r>
          </w:p>
        </w:tc>
        <w:tc>
          <w:tcPr>
            <w:tcW w:type="dxa" w:w="3456"/>
            <w:vAlign w:val="center"/>
            <w:shd w:fill="F2F5F8"/>
          </w:tcPr>
          <w:p>
            <w:pPr>
              <w:spacing w:after="20" w:before="20"/>
            </w:pPr>
            <w:r/>
            <w:r>
              <w:rPr>
                <w:rFonts w:ascii="Calibri" w:hAnsi="Calibri"/>
                <w:b w:val="0"/>
                <w:sz w:val="16"/>
              </w:rPr>
              <w:t>Medium — fix fast</w:t>
            </w:r>
          </w:p>
        </w:tc>
      </w:tr>
    </w:tbl>
    <w:p>
      <w:pPr>
        <w:spacing w:after="40"/>
      </w:pPr>
    </w:p>
    <w:p>
      <w:pPr>
        <w:pStyle w:val="Heading1"/>
      </w:pPr>
      <w:r>
        <w:t>Priority 1 — Quick wins: fix before anyone else sees it</w:t>
      </w:r>
    </w:p>
    <w:p>
      <w:pPr>
        <w:spacing w:after="80"/>
      </w:pPr>
      <w:r>
        <w:rPr>
          <w:i w:val="0"/>
          <w:sz w:val="19"/>
        </w:rPr>
        <w:t>These are 1–2 day fixes. Each one, left in place, tells a visitor “this is not finished” within the first minute. There is no reason to carry any of them into a launch.</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461"/>
            <w:vAlign w:val="center"/>
            <w:shd w:fill="0F2A44"/>
          </w:tcPr>
          <w:p>
            <w:pPr>
              <w:spacing w:after="20" w:before="20"/>
            </w:pPr>
            <w:r/>
            <w:r>
              <w:rPr>
                <w:rFonts w:ascii="Calibri" w:hAnsi="Calibri"/>
                <w:b/>
                <w:color w:val="FFFFFF"/>
                <w:sz w:val="16"/>
              </w:rPr>
              <w:t>☐</w:t>
            </w:r>
          </w:p>
        </w:tc>
        <w:tc>
          <w:tcPr>
            <w:tcW w:type="dxa" w:w="2232"/>
            <w:vAlign w:val="center"/>
            <w:shd w:fill="0F2A44"/>
          </w:tcPr>
          <w:p>
            <w:pPr>
              <w:spacing w:after="20" w:before="20"/>
            </w:pPr>
            <w:r/>
            <w:r>
              <w:rPr>
                <w:rFonts w:ascii="Calibri" w:hAnsi="Calibri"/>
                <w:b/>
                <w:color w:val="FFFFFF"/>
                <w:sz w:val="16"/>
              </w:rPr>
              <w:t>Item</w:t>
            </w:r>
          </w:p>
        </w:tc>
        <w:tc>
          <w:tcPr>
            <w:tcW w:type="dxa" w:w="2808"/>
            <w:vAlign w:val="center"/>
            <w:shd w:fill="0F2A44"/>
          </w:tcPr>
          <w:p>
            <w:pPr>
              <w:spacing w:after="20" w:before="20"/>
            </w:pPr>
            <w:r/>
            <w:r>
              <w:rPr>
                <w:rFonts w:ascii="Calibri" w:hAnsi="Calibri"/>
                <w:b/>
                <w:color w:val="FFFFFF"/>
                <w:sz w:val="16"/>
              </w:rPr>
              <w:t>Where it appears</w:t>
            </w:r>
          </w:p>
        </w:tc>
        <w:tc>
          <w:tcPr>
            <w:tcW w:type="dxa" w:w="5155"/>
            <w:vAlign w:val="center"/>
            <w:shd w:fill="0F2A44"/>
          </w:tcPr>
          <w:p>
            <w:pPr>
              <w:spacing w:after="20" w:before="20"/>
            </w:pPr>
            <w:r/>
            <w:r>
              <w:rPr>
                <w:rFonts w:ascii="Calibri" w:hAnsi="Calibri"/>
                <w:b/>
                <w:color w:val="FFFFFF"/>
                <w:sz w:val="16"/>
              </w:rPr>
              <w:t>Fix</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Dead documentation link</w:t>
            </w:r>
          </w:p>
        </w:tc>
        <w:tc>
          <w:tcPr>
            <w:tcW w:type="dxa" w:w="2592"/>
            <w:vAlign w:val="center"/>
          </w:tcPr>
          <w:p>
            <w:pPr>
              <w:spacing w:after="20" w:before="20"/>
            </w:pPr>
            <w:r/>
            <w:r>
              <w:rPr>
                <w:rFonts w:ascii="Calibri" w:hAnsi="Calibri"/>
                <w:b w:val="0"/>
                <w:sz w:val="16"/>
              </w:rPr>
              <w:t>Footer — /docs</w:t>
            </w:r>
          </w:p>
        </w:tc>
        <w:tc>
          <w:tcPr>
            <w:tcW w:type="dxa" w:w="2592"/>
            <w:vAlign w:val="center"/>
          </w:tcPr>
          <w:p>
            <w:pPr>
              <w:spacing w:after="20" w:before="20"/>
            </w:pPr>
            <w:r/>
            <w:r>
              <w:rPr>
                <w:rFonts w:ascii="Calibri" w:hAnsi="Calibri"/>
                <w:b w:val="0"/>
                <w:sz w:val="16"/>
              </w:rPr>
              <w:t>Build a real /docs page or remove the link until it exists</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Placeholder phone numbers</w:t>
            </w:r>
          </w:p>
        </w:tc>
        <w:tc>
          <w:tcPr>
            <w:tcW w:type="dxa" w:w="2592"/>
            <w:vAlign w:val="center"/>
            <w:shd w:fill="F2F5F8"/>
          </w:tcPr>
          <w:p>
            <w:pPr>
              <w:spacing w:after="20" w:before="20"/>
            </w:pPr>
            <w:r/>
            <w:r>
              <w:rPr>
                <w:rFonts w:ascii="Calibri" w:hAnsi="Calibri"/>
                <w:b w:val="0"/>
                <w:sz w:val="16"/>
              </w:rPr>
              <w:t>Header/contact: +1 (555) VERSO-AIR; +1 000 000 0000; listings: 416-555-01xx</w:t>
            </w:r>
          </w:p>
        </w:tc>
        <w:tc>
          <w:tcPr>
            <w:tcW w:type="dxa" w:w="2592"/>
            <w:vAlign w:val="center"/>
            <w:shd w:fill="F2F5F8"/>
          </w:tcPr>
          <w:p>
            <w:pPr>
              <w:spacing w:after="20" w:before="20"/>
            </w:pPr>
            <w:r/>
            <w:r>
              <w:rPr>
                <w:rFonts w:ascii="Calibri" w:hAnsi="Calibri"/>
                <w:b w:val="0"/>
                <w:sz w:val="16"/>
              </w:rPr>
              <w:t>Replace with a real monitored number or remove; never ship 555 numbers</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TEST data in production</w:t>
            </w:r>
          </w:p>
        </w:tc>
        <w:tc>
          <w:tcPr>
            <w:tcW w:type="dxa" w:w="2592"/>
            <w:vAlign w:val="center"/>
          </w:tcPr>
          <w:p>
            <w:pPr>
              <w:spacing w:after="20" w:before="20"/>
            </w:pPr>
            <w:r/>
            <w:r>
              <w:rPr>
                <w:rFonts w:ascii="Calibri" w:hAnsi="Calibri"/>
                <w:b w:val="0"/>
                <w:sz w:val="16"/>
              </w:rPr>
              <w:t>Careers: “TEST Job” (Los Angeles); test marketplace listings and accounts shown on-page</w:t>
            </w:r>
          </w:p>
        </w:tc>
        <w:tc>
          <w:tcPr>
            <w:tcW w:type="dxa" w:w="2592"/>
            <w:vAlign w:val="center"/>
          </w:tcPr>
          <w:p>
            <w:pPr>
              <w:spacing w:after="20" w:before="20"/>
            </w:pPr>
            <w:r/>
            <w:r>
              <w:rPr>
                <w:rFonts w:ascii="Calibri" w:hAnsi="Calibri"/>
                <w:b w:val="0"/>
                <w:sz w:val="16"/>
              </w:rPr>
              <w:t>Delete or seed-flag all TEST records; remove disclosed test credentials</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Visible dev / demo badges</w:t>
            </w:r>
          </w:p>
        </w:tc>
        <w:tc>
          <w:tcPr>
            <w:tcW w:type="dxa" w:w="2592"/>
            <w:vAlign w:val="center"/>
            <w:shd w:fill="F2F5F8"/>
          </w:tcPr>
          <w:p>
            <w:pPr>
              <w:spacing w:after="20" w:before="20"/>
            </w:pPr>
            <w:r/>
            <w:r>
              <w:rPr>
                <w:rFonts w:ascii="Calibri" w:hAnsi="Calibri"/>
                <w:b w:val="0"/>
                <w:sz w:val="16"/>
              </w:rPr>
              <w:t>“Connected to PostgreSQL”, “live PostgreSQL”, POST-BETA banner, tech-stack list on About</w:t>
            </w:r>
          </w:p>
        </w:tc>
        <w:tc>
          <w:tcPr>
            <w:tcW w:type="dxa" w:w="2592"/>
            <w:vAlign w:val="center"/>
            <w:shd w:fill="F2F5F8"/>
          </w:tcPr>
          <w:p>
            <w:pPr>
              <w:spacing w:after="20" w:before="20"/>
            </w:pPr>
            <w:r/>
            <w:r>
              <w:rPr>
                <w:rFonts w:ascii="Calibri" w:hAnsi="Calibri"/>
                <w:b w:val="0"/>
                <w:sz w:val="16"/>
              </w:rPr>
              <w:t>Remove from public pages; keep status detail on /status only</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POST-BETA banner decision</w:t>
            </w:r>
          </w:p>
        </w:tc>
        <w:tc>
          <w:tcPr>
            <w:tcW w:type="dxa" w:w="2592"/>
            <w:vAlign w:val="center"/>
          </w:tcPr>
          <w:p>
            <w:pPr>
              <w:spacing w:after="20" w:before="20"/>
            </w:pPr>
            <w:r/>
            <w:r>
              <w:rPr>
                <w:rFonts w:ascii="Calibri" w:hAnsi="Calibri"/>
                <w:b w:val="0"/>
                <w:sz w:val="16"/>
              </w:rPr>
              <w:t>Site-wide banner: “production hardening in progress”</w:t>
            </w:r>
          </w:p>
        </w:tc>
        <w:tc>
          <w:tcPr>
            <w:tcW w:type="dxa" w:w="2592"/>
            <w:vAlign w:val="center"/>
          </w:tcPr>
          <w:p>
            <w:pPr>
              <w:spacing w:after="20" w:before="20"/>
            </w:pPr>
            <w:r/>
            <w:r>
              <w:rPr>
                <w:rFonts w:ascii="Calibri" w:hAnsi="Calibri"/>
                <w:b w:val="0"/>
                <w:sz w:val="16"/>
              </w:rPr>
              <w:t>Remove at launch, or keep and do not charge yet — do not do both</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Empty sections presented as live</w:t>
            </w:r>
          </w:p>
        </w:tc>
        <w:tc>
          <w:tcPr>
            <w:tcW w:type="dxa" w:w="2592"/>
            <w:vAlign w:val="center"/>
            <w:shd w:fill="F2F5F8"/>
          </w:tcPr>
          <w:p>
            <w:pPr>
              <w:spacing w:after="20" w:before="20"/>
            </w:pPr>
            <w:r/>
            <w:r>
              <w:rPr>
                <w:rFonts w:ascii="Calibri" w:hAnsi="Calibri"/>
                <w:b w:val="0"/>
                <w:sz w:val="16"/>
              </w:rPr>
              <w:t>Free ad journal (0 listings); newsletter (empty); music-label flyout (empty)</w:t>
            </w:r>
          </w:p>
        </w:tc>
        <w:tc>
          <w:tcPr>
            <w:tcW w:type="dxa" w:w="2592"/>
            <w:vAlign w:val="center"/>
            <w:shd w:fill="F2F5F8"/>
          </w:tcPr>
          <w:p>
            <w:pPr>
              <w:spacing w:after="20" w:before="20"/>
            </w:pPr>
            <w:r/>
            <w:r>
              <w:rPr>
                <w:rFonts w:ascii="Calibri" w:hAnsi="Calibri"/>
                <w:b w:val="0"/>
                <w:sz w:val="16"/>
              </w:rPr>
              <w:t>Hide, label “coming soon”, or seed with real content before linking</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No real contact identity</w:t>
            </w:r>
          </w:p>
        </w:tc>
        <w:tc>
          <w:tcPr>
            <w:tcW w:type="dxa" w:w="2592"/>
            <w:vAlign w:val="center"/>
          </w:tcPr>
          <w:p>
            <w:pPr>
              <w:spacing w:after="20" w:before="20"/>
            </w:pPr>
            <w:r/>
            <w:r>
              <w:rPr>
                <w:rFonts w:ascii="Calibri" w:hAnsi="Calibri"/>
                <w:b w:val="0"/>
                <w:sz w:val="16"/>
              </w:rPr>
              <w:t>Contact: no street address; “Global Operations Center” only</w:t>
            </w:r>
          </w:p>
        </w:tc>
        <w:tc>
          <w:tcPr>
            <w:tcW w:type="dxa" w:w="2592"/>
            <w:vAlign w:val="center"/>
          </w:tcPr>
          <w:p>
            <w:pPr>
              <w:spacing w:after="20" w:before="20"/>
            </w:pPr>
            <w:r/>
            <w:r>
              <w:rPr>
                <w:rFonts w:ascii="Calibri" w:hAnsi="Calibri"/>
                <w:b w:val="0"/>
                <w:sz w:val="16"/>
              </w:rPr>
              <w:t>Add legal business name, mailing address, and a monitored support inbox</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Inconsistent language mix</w:t>
            </w:r>
          </w:p>
        </w:tc>
        <w:tc>
          <w:tcPr>
            <w:tcW w:type="dxa" w:w="2592"/>
            <w:vAlign w:val="center"/>
            <w:shd w:fill="F2F5F8"/>
          </w:tcPr>
          <w:p>
            <w:pPr>
              <w:spacing w:after="20" w:before="20"/>
            </w:pPr>
            <w:r/>
            <w:r>
              <w:rPr>
                <w:rFonts w:ascii="Calibri" w:hAnsi="Calibri"/>
                <w:b w:val="0"/>
                <w:sz w:val="16"/>
              </w:rPr>
              <w:t>French nav (Accueil, Découvrir…) with English body copy in places</w:t>
            </w:r>
          </w:p>
        </w:tc>
        <w:tc>
          <w:tcPr>
            <w:tcW w:type="dxa" w:w="2592"/>
            <w:vAlign w:val="center"/>
            <w:shd w:fill="F2F5F8"/>
          </w:tcPr>
          <w:p>
            <w:pPr>
              <w:spacing w:after="20" w:before="20"/>
            </w:pPr>
            <w:r/>
            <w:r>
              <w:rPr>
                <w:rFonts w:ascii="Calibri" w:hAnsi="Calibri"/>
                <w:b w:val="0"/>
                <w:sz w:val="16"/>
              </w:rPr>
              <w:t>Pick per-page language; add a working FR/EN toggle that actually switches copy</w:t>
            </w:r>
          </w:p>
        </w:tc>
      </w:tr>
    </w:tbl>
    <w:p>
      <w:pPr>
        <w:spacing w:after="40"/>
      </w:pPr>
    </w:p>
    <w:p>
      <w:pPr>
        <w:pStyle w:val="ListBullet"/>
        <w:spacing w:after="40"/>
        <w:ind w:left="317"/>
      </w:pPr>
      <w:r>
        <w:rPr>
          <w:b/>
          <w:sz w:val="18"/>
        </w:rPr>
        <w:t xml:space="preserve">Rule of thumb: </w:t>
      </w:r>
      <w:r>
        <w:rPr>
          <w:sz w:val="18"/>
        </w:rPr>
        <w:t>If a page would embarrass you in a screenshot shared on LinkedIn, it is not ready to be linked. Hide it or finish it.</w:t>
      </w:r>
    </w:p>
    <w:p>
      <w:pPr>
        <w:pStyle w:val="Heading1"/>
      </w:pPr>
      <w:r>
        <w:t>Priority 2 — Make the directory real</w:t>
      </w:r>
    </w:p>
    <w:p>
      <w:pPr>
        <w:spacing w:after="80"/>
      </w:pPr>
      <w:r>
        <w:rPr>
          <w:i w:val="0"/>
          <w:sz w:val="19"/>
        </w:rPr>
        <w:t>The platform’s promise is coverage: “24 industry sectors”, 183 businesses, 182 categories. The audit found a much thinner reality. Closing this gap is the single largest piece of launch work.</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461"/>
            <w:vAlign w:val="center"/>
            <w:shd w:fill="0F2A44"/>
          </w:tcPr>
          <w:p>
            <w:pPr>
              <w:spacing w:after="20" w:before="20"/>
            </w:pPr>
            <w:r/>
            <w:r>
              <w:rPr>
                <w:rFonts w:ascii="Calibri" w:hAnsi="Calibri"/>
                <w:b/>
                <w:color w:val="FFFFFF"/>
                <w:sz w:val="16"/>
              </w:rPr>
              <w:t>☐</w:t>
            </w:r>
          </w:p>
        </w:tc>
        <w:tc>
          <w:tcPr>
            <w:tcW w:type="dxa" w:w="2376"/>
            <w:vAlign w:val="center"/>
            <w:shd w:fill="0F2A44"/>
          </w:tcPr>
          <w:p>
            <w:pPr>
              <w:spacing w:after="20" w:before="20"/>
            </w:pPr>
            <w:r/>
            <w:r>
              <w:rPr>
                <w:rFonts w:ascii="Calibri" w:hAnsi="Calibri"/>
                <w:b/>
                <w:color w:val="FFFFFF"/>
                <w:sz w:val="16"/>
              </w:rPr>
              <w:t>Item</w:t>
            </w:r>
          </w:p>
        </w:tc>
        <w:tc>
          <w:tcPr>
            <w:tcW w:type="dxa" w:w="3456"/>
            <w:vAlign w:val="center"/>
            <w:shd w:fill="0F2A44"/>
          </w:tcPr>
          <w:p>
            <w:pPr>
              <w:spacing w:after="20" w:before="20"/>
            </w:pPr>
            <w:r/>
            <w:r>
              <w:rPr>
                <w:rFonts w:ascii="Calibri" w:hAnsi="Calibri"/>
                <w:b/>
                <w:color w:val="FFFFFF"/>
                <w:sz w:val="16"/>
              </w:rPr>
              <w:t>What the audit found</w:t>
            </w:r>
          </w:p>
        </w:tc>
        <w:tc>
          <w:tcPr>
            <w:tcW w:type="dxa" w:w="4363"/>
            <w:vAlign w:val="center"/>
            <w:shd w:fill="0F2A44"/>
          </w:tcPr>
          <w:p>
            <w:pPr>
              <w:spacing w:after="20" w:before="20"/>
            </w:pPr>
            <w:r/>
            <w:r>
              <w:rPr>
                <w:rFonts w:ascii="Calibri" w:hAnsi="Calibri"/>
                <w:b/>
                <w:color w:val="FFFFFF"/>
                <w:sz w:val="16"/>
              </w:rPr>
              <w:t>Done when</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Finance sector is empty</w:t>
            </w:r>
          </w:p>
        </w:tc>
        <w:tc>
          <w:tcPr>
            <w:tcW w:type="dxa" w:w="2592"/>
            <w:vAlign w:val="center"/>
          </w:tcPr>
          <w:p>
            <w:pPr>
              <w:spacing w:after="20" w:before="20"/>
            </w:pPr>
            <w:r/>
            <w:r>
              <w:rPr>
                <w:rFonts w:ascii="Calibri" w:hAnsi="Calibri"/>
                <w:b w:val="0"/>
                <w:sz w:val="16"/>
              </w:rPr>
              <w:t>/finances — zero listings; “offline database”</w:t>
            </w:r>
          </w:p>
        </w:tc>
        <w:tc>
          <w:tcPr>
            <w:tcW w:type="dxa" w:w="2592"/>
            <w:vAlign w:val="center"/>
          </w:tcPr>
          <w:p>
            <w:pPr>
              <w:spacing w:after="20" w:before="20"/>
            </w:pPr>
            <w:r/>
            <w:r>
              <w:rPr>
                <w:rFonts w:ascii="Calibri" w:hAnsi="Calibri"/>
                <w:b w:val="0"/>
                <w:sz w:val="16"/>
              </w:rPr>
              <w:t>Real listings load, or sector is hidden from nav</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Trade database offline</w:t>
            </w:r>
          </w:p>
        </w:tc>
        <w:tc>
          <w:tcPr>
            <w:tcW w:type="dxa" w:w="2592"/>
            <w:vAlign w:val="center"/>
            <w:shd w:fill="F2F5F8"/>
          </w:tcPr>
          <w:p>
            <w:pPr>
              <w:spacing w:after="20" w:before="20"/>
            </w:pPr>
            <w:r/>
            <w:r>
              <w:rPr>
                <w:rFonts w:ascii="Calibri" w:hAnsi="Calibri"/>
                <w:b w:val="0"/>
                <w:sz w:val="16"/>
              </w:rPr>
              <w:t>“0 businesses found / Offline database”</w:t>
            </w:r>
          </w:p>
        </w:tc>
        <w:tc>
          <w:tcPr>
            <w:tcW w:type="dxa" w:w="2592"/>
            <w:vAlign w:val="center"/>
            <w:shd w:fill="F2F5F8"/>
          </w:tcPr>
          <w:p>
            <w:pPr>
              <w:spacing w:after="20" w:before="20"/>
            </w:pPr>
            <w:r/>
            <w:r>
              <w:rPr>
                <w:rFonts w:ascii="Calibri" w:hAnsi="Calibri"/>
                <w:b w:val="0"/>
                <w:sz w:val="16"/>
              </w:rPr>
              <w:t>Live query returns real businesses; offline message removed</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Sector pages have 1–3 listings</w:t>
            </w:r>
          </w:p>
        </w:tc>
        <w:tc>
          <w:tcPr>
            <w:tcW w:type="dxa" w:w="2592"/>
            <w:vAlign w:val="center"/>
          </w:tcPr>
          <w:p>
            <w:pPr>
              <w:spacing w:after="20" w:before="20"/>
            </w:pPr>
            <w:r/>
            <w:r>
              <w:rPr>
                <w:rFonts w:ascii="Calibri" w:hAnsi="Calibri"/>
                <w:b w:val="0"/>
                <w:sz w:val="16"/>
              </w:rPr>
              <w:t>Hospitality 1; Construction 1; Health 2; Entertainment 2; Auto 3</w:t>
            </w:r>
          </w:p>
        </w:tc>
        <w:tc>
          <w:tcPr>
            <w:tcW w:type="dxa" w:w="2592"/>
            <w:vAlign w:val="center"/>
          </w:tcPr>
          <w:p>
            <w:pPr>
              <w:spacing w:after="20" w:before="20"/>
            </w:pPr>
            <w:r/>
            <w:r>
              <w:rPr>
                <w:rFonts w:ascii="Calibri" w:hAnsi="Calibri"/>
                <w:b w:val="0"/>
                <w:sz w:val="16"/>
              </w:rPr>
              <w:t>Each live sector has a defensible minimum (suggest: 20+ verified)</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Seeded / fake addresses and phones</w:t>
            </w:r>
          </w:p>
        </w:tc>
        <w:tc>
          <w:tcPr>
            <w:tcW w:type="dxa" w:w="2592"/>
            <w:vAlign w:val="center"/>
            <w:shd w:fill="F2F5F8"/>
          </w:tcPr>
          <w:p>
            <w:pPr>
              <w:spacing w:after="20" w:before="20"/>
            </w:pPr>
            <w:r/>
            <w:r>
              <w:rPr>
                <w:rFonts w:ascii="Calibri" w:hAnsi="Calibri"/>
                <w:b w:val="0"/>
                <w:sz w:val="16"/>
              </w:rPr>
              <w:t>e.g. “638 Toronto Business Ave”, 416-555-01xx across listings</w:t>
            </w:r>
          </w:p>
        </w:tc>
        <w:tc>
          <w:tcPr>
            <w:tcW w:type="dxa" w:w="2592"/>
            <w:vAlign w:val="center"/>
            <w:shd w:fill="F2F5F8"/>
          </w:tcPr>
          <w:p>
            <w:pPr>
              <w:spacing w:after="20" w:before="20"/>
            </w:pPr>
            <w:r/>
            <w:r>
              <w:rPr>
                <w:rFonts w:ascii="Calibri" w:hAnsi="Calibri"/>
                <w:b w:val="0"/>
                <w:sz w:val="16"/>
              </w:rPr>
              <w:t>Every listing is a real business with a verifiable address and phone</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Business Directory has categories, no listings</w:t>
            </w:r>
          </w:p>
        </w:tc>
        <w:tc>
          <w:tcPr>
            <w:tcW w:type="dxa" w:w="2592"/>
            <w:vAlign w:val="center"/>
          </w:tcPr>
          <w:p>
            <w:pPr>
              <w:spacing w:after="20" w:before="20"/>
            </w:pPr>
            <w:r/>
            <w:r>
              <w:rPr>
                <w:rFonts w:ascii="Calibri" w:hAnsi="Calibri"/>
                <w:b w:val="0"/>
                <w:sz w:val="16"/>
              </w:rPr>
              <w:t>/businesses-directory — 17 categories, none populated on view</w:t>
            </w:r>
          </w:p>
        </w:tc>
        <w:tc>
          <w:tcPr>
            <w:tcW w:type="dxa" w:w="2592"/>
            <w:vAlign w:val="center"/>
          </w:tcPr>
          <w:p>
            <w:pPr>
              <w:spacing w:after="20" w:before="20"/>
            </w:pPr>
            <w:r/>
            <w:r>
              <w:rPr>
                <w:rFonts w:ascii="Calibri" w:hAnsi="Calibri"/>
                <w:b w:val="0"/>
                <w:sz w:val="16"/>
              </w:rPr>
              <w:t>Each category opens to real listings or is not shown</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Canada vs. Ivory Coast mismatch</w:t>
            </w:r>
          </w:p>
        </w:tc>
        <w:tc>
          <w:tcPr>
            <w:tcW w:type="dxa" w:w="2592"/>
            <w:vAlign w:val="center"/>
            <w:shd w:fill="F2F5F8"/>
          </w:tcPr>
          <w:p>
            <w:pPr>
              <w:spacing w:after="20" w:before="20"/>
            </w:pPr>
            <w:r/>
            <w:r>
              <w:rPr>
                <w:rFonts w:ascii="Calibri" w:hAnsi="Calibri"/>
                <w:b w:val="0"/>
                <w:sz w:val="16"/>
              </w:rPr>
              <w:t>Homepage: Canada artisan focus; rentals/directories: Abidjan, Grand-Bassam</w:t>
            </w:r>
          </w:p>
        </w:tc>
        <w:tc>
          <w:tcPr>
            <w:tcW w:type="dxa" w:w="2592"/>
            <w:vAlign w:val="center"/>
            <w:shd w:fill="F2F5F8"/>
          </w:tcPr>
          <w:p>
            <w:pPr>
              <w:spacing w:after="20" w:before="20"/>
            </w:pPr>
            <w:r/>
            <w:r>
              <w:rPr>
                <w:rFonts w:ascii="Calibri" w:hAnsi="Calibri"/>
                <w:b w:val="0"/>
                <w:sz w:val="16"/>
              </w:rPr>
              <w:t>One clear launch geography; the other is labelled as a second market, not mixed in</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Counts on About do not match reality</w:t>
            </w:r>
          </w:p>
        </w:tc>
        <w:tc>
          <w:tcPr>
            <w:tcW w:type="dxa" w:w="2592"/>
            <w:vAlign w:val="center"/>
          </w:tcPr>
          <w:p>
            <w:pPr>
              <w:spacing w:after="20" w:before="20"/>
            </w:pPr>
            <w:r/>
            <w:r>
              <w:rPr>
                <w:rFonts w:ascii="Calibri" w:hAnsi="Calibri"/>
                <w:b w:val="0"/>
                <w:sz w:val="16"/>
              </w:rPr>
              <w:t>183 businesses / 182 categories / 3.95 rating claimed</w:t>
            </w:r>
          </w:p>
        </w:tc>
        <w:tc>
          <w:tcPr>
            <w:tcW w:type="dxa" w:w="2592"/>
            <w:vAlign w:val="center"/>
          </w:tcPr>
          <w:p>
            <w:pPr>
              <w:spacing w:after="20" w:before="20"/>
            </w:pPr>
            <w:r/>
            <w:r>
              <w:rPr>
                <w:rFonts w:ascii="Calibri" w:hAnsi="Calibri"/>
                <w:b w:val="0"/>
                <w:sz w:val="16"/>
              </w:rPr>
              <w:t>Published counts are generated from the live database, not hard-coded</w:t>
            </w:r>
          </w:p>
        </w:tc>
      </w:tr>
    </w:tbl>
    <w:p>
      <w:pPr>
        <w:spacing w:after="40"/>
      </w:pPr>
    </w:p>
    <w:p>
      <w:pPr>
        <w:pStyle w:val="ListBullet"/>
        <w:spacing w:after="40"/>
        <w:ind w:left="317"/>
      </w:pPr>
      <w:r>
        <w:rPr>
          <w:b/>
          <w:sz w:val="18"/>
        </w:rPr>
        <w:t xml:space="preserve">Decide the launch footprint: </w:t>
      </w:r>
      <w:r>
        <w:rPr>
          <w:sz w:val="18"/>
        </w:rPr>
        <w:t>One city or one sector done well beats 24 sectors with one listing each. Narrow the public claim to what is actually populated, then expand.</w:t>
      </w:r>
    </w:p>
    <w:p>
      <w:pPr>
        <w:pStyle w:val="Heading1"/>
      </w:pPr>
      <w:r>
        <w:t>Priority 3 — Search, GPS and demos that mislead</w:t>
      </w:r>
    </w:p>
    <w:p>
      <w:pPr>
        <w:spacing w:after="80"/>
      </w:pPr>
      <w:r>
        <w:rPr>
          <w:i w:val="0"/>
          <w:sz w:val="19"/>
        </w:rPr>
        <w:t>Three features look live but are not. Visitors will try them in the first minute; each failed try costs more trust than hiding the feature would.</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461"/>
            <w:vAlign w:val="center"/>
            <w:shd w:fill="0F2A44"/>
          </w:tcPr>
          <w:p>
            <w:pPr>
              <w:spacing w:after="20" w:before="20"/>
            </w:pPr>
            <w:r/>
            <w:r>
              <w:rPr>
                <w:rFonts w:ascii="Calibri" w:hAnsi="Calibri"/>
                <w:b/>
                <w:color w:val="FFFFFF"/>
                <w:sz w:val="16"/>
              </w:rPr>
              <w:t>☐</w:t>
            </w:r>
          </w:p>
        </w:tc>
        <w:tc>
          <w:tcPr>
            <w:tcW w:type="dxa" w:w="2088"/>
            <w:vAlign w:val="center"/>
            <w:shd w:fill="0F2A44"/>
          </w:tcPr>
          <w:p>
            <w:pPr>
              <w:spacing w:after="20" w:before="20"/>
            </w:pPr>
            <w:r/>
            <w:r>
              <w:rPr>
                <w:rFonts w:ascii="Calibri" w:hAnsi="Calibri"/>
                <w:b/>
                <w:color w:val="FFFFFF"/>
                <w:sz w:val="16"/>
              </w:rPr>
              <w:t>Feature</w:t>
            </w:r>
          </w:p>
        </w:tc>
        <w:tc>
          <w:tcPr>
            <w:tcW w:type="dxa" w:w="4104"/>
            <w:vAlign w:val="center"/>
            <w:shd w:fill="0F2A44"/>
          </w:tcPr>
          <w:p>
            <w:pPr>
              <w:spacing w:after="20" w:before="20"/>
            </w:pPr>
            <w:r/>
            <w:r>
              <w:rPr>
                <w:rFonts w:ascii="Calibri" w:hAnsi="Calibri"/>
                <w:b/>
                <w:color w:val="FFFFFF"/>
                <w:sz w:val="16"/>
              </w:rPr>
              <w:t>What happens today</w:t>
            </w:r>
          </w:p>
        </w:tc>
        <w:tc>
          <w:tcPr>
            <w:tcW w:type="dxa" w:w="4003"/>
            <w:vAlign w:val="center"/>
            <w:shd w:fill="0F2A44"/>
          </w:tcPr>
          <w:p>
            <w:pPr>
              <w:spacing w:after="20" w:before="20"/>
            </w:pPr>
            <w:r/>
            <w:r>
              <w:rPr>
                <w:rFonts w:ascii="Calibri" w:hAnsi="Calibri"/>
                <w:b/>
                <w:color w:val="FFFFFF"/>
                <w:sz w:val="16"/>
              </w:rPr>
              <w:t>Fix or hide</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Header search</w:t>
            </w:r>
          </w:p>
        </w:tc>
        <w:tc>
          <w:tcPr>
            <w:tcW w:type="dxa" w:w="2592"/>
            <w:vAlign w:val="center"/>
          </w:tcPr>
          <w:p>
            <w:pPr>
              <w:spacing w:after="20" w:before="20"/>
            </w:pPr>
            <w:r/>
            <w:r>
              <w:rPr>
                <w:rFonts w:ascii="Calibri" w:hAnsi="Calibri"/>
                <w:b w:val="0"/>
                <w:sz w:val="16"/>
              </w:rPr>
              <w:t>Searches FAQ/discussions only; “artisan” returns zero topics</w:t>
            </w:r>
          </w:p>
        </w:tc>
        <w:tc>
          <w:tcPr>
            <w:tcW w:type="dxa" w:w="2592"/>
            <w:vAlign w:val="center"/>
          </w:tcPr>
          <w:p>
            <w:pPr>
              <w:spacing w:after="20" w:before="20"/>
            </w:pPr>
            <w:r/>
            <w:r>
              <w:rPr>
                <w:rFonts w:ascii="Calibri" w:hAnsi="Calibri"/>
                <w:b w:val="0"/>
                <w:sz w:val="16"/>
              </w:rPr>
              <w:t>Search businesses/listings, or label it “Search help” — do not imply site search</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GPS Services panel</w:t>
            </w:r>
          </w:p>
        </w:tc>
        <w:tc>
          <w:tcPr>
            <w:tcW w:type="dxa" w:w="2592"/>
            <w:vAlign w:val="center"/>
            <w:shd w:fill="F2F5F8"/>
          </w:tcPr>
          <w:p>
            <w:pPr>
              <w:spacing w:after="20" w:before="20"/>
            </w:pPr>
            <w:r/>
            <w:r>
              <w:rPr>
                <w:rFonts w:ascii="Calibri" w:hAnsi="Calibri"/>
                <w:b w:val="0"/>
                <w:sz w:val="16"/>
              </w:rPr>
              <w:t>Real geolocation (city, coordinates) mixed with mock landmarks (“Toronto City Center”, “Public Transport Hub”); blank altitude/ISP fields</w:t>
            </w:r>
          </w:p>
        </w:tc>
        <w:tc>
          <w:tcPr>
            <w:tcW w:type="dxa" w:w="2592"/>
            <w:vAlign w:val="center"/>
            <w:shd w:fill="F2F5F8"/>
          </w:tcPr>
          <w:p>
            <w:pPr>
              <w:spacing w:after="20" w:before="20"/>
            </w:pPr>
            <w:r/>
            <w:r>
              <w:rPr>
                <w:rFonts w:ascii="Calibri" w:hAnsi="Calibri"/>
                <w:b w:val="0"/>
                <w:sz w:val="16"/>
              </w:rPr>
              <w:t>Show only real fields; remove mock landmarks or label the panel as a demo</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No courier tracker</w:t>
            </w:r>
          </w:p>
        </w:tc>
        <w:tc>
          <w:tcPr>
            <w:tcW w:type="dxa" w:w="2592"/>
            <w:vAlign w:val="center"/>
          </w:tcPr>
          <w:p>
            <w:pPr>
              <w:spacing w:after="20" w:before="20"/>
            </w:pPr>
            <w:r/>
            <w:r>
              <w:rPr>
                <w:rFonts w:ascii="Calibri" w:hAnsi="Calibri"/>
                <w:b w:val="0"/>
                <w:sz w:val="16"/>
              </w:rPr>
              <w:t>Implied by GPS services; no tracker exists on the site</w:t>
            </w:r>
          </w:p>
        </w:tc>
        <w:tc>
          <w:tcPr>
            <w:tcW w:type="dxa" w:w="2592"/>
            <w:vAlign w:val="center"/>
          </w:tcPr>
          <w:p>
            <w:pPr>
              <w:spacing w:after="20" w:before="20"/>
            </w:pPr>
            <w:r/>
            <w:r>
              <w:rPr>
                <w:rFonts w:ascii="Calibri" w:hAnsi="Calibri"/>
                <w:b w:val="0"/>
                <w:sz w:val="16"/>
              </w:rPr>
              <w:t>Build it, or remove any copy that promises tracking</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VersoAI page</w:t>
            </w:r>
          </w:p>
        </w:tc>
        <w:tc>
          <w:tcPr>
            <w:tcW w:type="dxa" w:w="2592"/>
            <w:vAlign w:val="center"/>
            <w:shd w:fill="F2F5F8"/>
          </w:tcPr>
          <w:p>
            <w:pPr>
              <w:spacing w:after="20" w:before="20"/>
            </w:pPr>
            <w:r/>
            <w:r>
              <w:rPr>
                <w:rFonts w:ascii="Calibri" w:hAnsi="Calibri"/>
                <w:b w:val="0"/>
                <w:sz w:val="16"/>
              </w:rPr>
              <w:t>Cosmic/astrology-style planetary demo, unrelated to business intelligence</w:t>
            </w:r>
          </w:p>
        </w:tc>
        <w:tc>
          <w:tcPr>
            <w:tcW w:type="dxa" w:w="2592"/>
            <w:vAlign w:val="center"/>
            <w:shd w:fill="F2F5F8"/>
          </w:tcPr>
          <w:p>
            <w:pPr>
              <w:spacing w:after="20" w:before="20"/>
            </w:pPr>
            <w:r/>
            <w:r>
              <w:rPr>
                <w:rFonts w:ascii="Calibri" w:hAnsi="Calibri"/>
                <w:b w:val="0"/>
                <w:sz w:val="16"/>
              </w:rPr>
              <w:t>Replace with a BI demo, or take the page out of nav</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AI chat demo</w:t>
            </w:r>
          </w:p>
        </w:tc>
        <w:tc>
          <w:tcPr>
            <w:tcW w:type="dxa" w:w="2592"/>
            <w:vAlign w:val="center"/>
          </w:tcPr>
          <w:p>
            <w:pPr>
              <w:spacing w:after="20" w:before="20"/>
            </w:pPr>
            <w:r/>
            <w:r>
              <w:rPr>
                <w:rFonts w:ascii="Calibri" w:hAnsi="Calibri"/>
                <w:b w:val="0"/>
                <w:sz w:val="16"/>
              </w:rPr>
              <w:t>Multilingual chat demo on homepage</w:t>
            </w:r>
          </w:p>
        </w:tc>
        <w:tc>
          <w:tcPr>
            <w:tcW w:type="dxa" w:w="2592"/>
            <w:vAlign w:val="center"/>
          </w:tcPr>
          <w:p>
            <w:pPr>
              <w:spacing w:after="20" w:before="20"/>
            </w:pPr>
            <w:r/>
            <w:r>
              <w:rPr>
                <w:rFonts w:ascii="Calibri" w:hAnsi="Calibri"/>
                <w:b w:val="0"/>
                <w:sz w:val="16"/>
              </w:rPr>
              <w:t>Confirm it answers with real Verso Air data; otherwise label as concept demo</w:t>
            </w:r>
          </w:p>
        </w:tc>
      </w:tr>
    </w:tbl>
    <w:p>
      <w:pPr>
        <w:spacing w:after="40"/>
      </w:pPr>
    </w:p>
    <w:p>
      <w:pPr>
        <w:pStyle w:val="Heading1"/>
      </w:pPr>
      <w:r>
        <w:t>Priority 4 — Bigger lifts: product and content build-out</w:t>
      </w:r>
    </w:p>
    <w:p>
      <w:pPr>
        <w:spacing w:after="80"/>
      </w:pPr>
      <w:r>
        <w:rPr>
          <w:i w:val="0"/>
          <w:sz w:val="19"/>
        </w:rPr>
        <w:t>These take weeks, not days. Sequence them after Priorities 1–3 so you are building on a credible base.</w:t>
      </w:r>
    </w:p>
    <w:p>
      <w:pPr>
        <w:pStyle w:val="Heading2"/>
      </w:pPr>
      <w:r>
        <w:t>Documentation and onboarding</w:t>
      </w:r>
    </w:p>
    <w:p>
      <w:pPr>
        <w:pStyle w:val="ListBullet"/>
        <w:spacing w:after="40"/>
        <w:ind w:left="317"/>
      </w:pPr>
      <w:r>
        <w:rPr>
          <w:b/>
          <w:sz w:val="18"/>
        </w:rPr>
        <w:t xml:space="preserve">Real /docs: </w:t>
      </w:r>
      <w:r>
        <w:rPr>
          <w:sz w:val="18"/>
        </w:rPr>
        <w:t>Getting-started guide, API reference (data integration &amp; API is a paid service), and billing help. The footer link stays dead until this ships.</w:t>
      </w:r>
    </w:p>
    <w:p>
      <w:pPr>
        <w:pStyle w:val="ListBullet"/>
        <w:spacing w:after="40"/>
        <w:ind w:left="317"/>
      </w:pPr>
      <w:r>
        <w:rPr>
          <w:b/>
          <w:sz w:val="18"/>
        </w:rPr>
        <w:t xml:space="preserve">Self-serve onboarding: </w:t>
      </w:r>
      <w:r>
        <w:rPr>
          <w:sz w:val="18"/>
        </w:rPr>
        <w:t>Sign-up → trial → paid plan without manual help. GeoAdmin is currently login-gated; test the full guest-to-customer path with a fresh account.</w:t>
      </w:r>
    </w:p>
    <w:p>
      <w:pPr>
        <w:pStyle w:val="ListBullet"/>
        <w:spacing w:after="40"/>
        <w:ind w:left="317"/>
      </w:pPr>
      <w:r>
        <w:rPr>
          <w:b/>
          <w:sz w:val="18"/>
        </w:rPr>
        <w:t xml:space="preserve">Status page is a strength: </w:t>
      </w:r>
      <w:r>
        <w:rPr>
          <w:sz w:val="18"/>
        </w:rPr>
        <w:t>/status is real (five services, 99.98–100% uptime, no incidents). Link it proudly once the footer click is reliable — the translate-widget overlay made it flaky in testing.</w:t>
      </w:r>
    </w:p>
    <w:p>
      <w:pPr>
        <w:pStyle w:val="Heading2"/>
      </w:pPr>
      <w:r>
        <w:t>Pricing — reconcile two ladders</w:t>
      </w:r>
    </w:p>
    <w:p>
      <w:pPr>
        <w:spacing w:after="60"/>
      </w:pPr>
      <w:r>
        <w:rPr>
          <w:i w:val="0"/>
          <w:sz w:val="19"/>
        </w:rPr>
        <w:t>The site currently shows two pricing systems that do not obviously connect. A buyer will ask which one they are paying. Answer that on one page before launch.</w:t>
      </w:r>
    </w:p>
    <w:tbl>
      <w:tblPr>
        <w:tblW w:type="auto" w:w="0"/>
        <w:jc w:val="center"/>
        <w:tblLayout w:type="fixed"/>
        <w:tblLook w:firstColumn="1" w:firstRow="1" w:lastColumn="0" w:lastRow="0" w:noHBand="0" w:noVBand="1" w:val="04A0"/>
      </w:tblPr>
      <w:tblGrid>
        <w:gridCol w:w="3456"/>
        <w:gridCol w:w="3456"/>
        <w:gridCol w:w="3456"/>
      </w:tblGrid>
      <w:tr>
        <w:tc>
          <w:tcPr>
            <w:tcW w:type="dxa" w:w="2232"/>
            <w:vAlign w:val="center"/>
            <w:shd w:fill="0F2A44"/>
          </w:tcPr>
          <w:p>
            <w:pPr>
              <w:spacing w:after="20" w:before="20"/>
            </w:pPr>
            <w:r/>
            <w:r>
              <w:rPr>
                <w:rFonts w:ascii="Calibri" w:hAnsi="Calibri"/>
                <w:b/>
                <w:color w:val="FFFFFF"/>
                <w:sz w:val="16"/>
              </w:rPr>
              <w:t>Ladder</w:t>
            </w:r>
          </w:p>
        </w:tc>
        <w:tc>
          <w:tcPr>
            <w:tcW w:type="dxa" w:w="4104"/>
            <w:vAlign w:val="center"/>
            <w:shd w:fill="0F2A44"/>
          </w:tcPr>
          <w:p>
            <w:pPr>
              <w:spacing w:after="20" w:before="20"/>
            </w:pPr>
            <w:r/>
            <w:r>
              <w:rPr>
                <w:rFonts w:ascii="Calibri" w:hAnsi="Calibri"/>
                <w:b/>
                <w:color w:val="FFFFFF"/>
                <w:sz w:val="16"/>
              </w:rPr>
              <w:t>Tiers shown</w:t>
            </w:r>
          </w:p>
        </w:tc>
        <w:tc>
          <w:tcPr>
            <w:tcW w:type="dxa" w:w="4320"/>
            <w:vAlign w:val="center"/>
            <w:shd w:fill="0F2A44"/>
          </w:tcPr>
          <w:p>
            <w:pPr>
              <w:spacing w:after="20" w:before="20"/>
            </w:pPr>
            <w:r/>
            <w:r>
              <w:rPr>
                <w:rFonts w:ascii="Calibri" w:hAnsi="Calibri"/>
                <w:b/>
                <w:color w:val="FFFFFF"/>
                <w:sz w:val="16"/>
              </w:rPr>
              <w:t>Question to resolve</w:t>
            </w:r>
          </w:p>
        </w:tc>
      </w:tr>
      <w:tr>
        <w:tc>
          <w:tcPr>
            <w:tcW w:type="dxa" w:w="3456"/>
            <w:vAlign w:val="center"/>
          </w:tcPr>
          <w:p>
            <w:pPr>
              <w:spacing w:after="20" w:before="20"/>
            </w:pPr>
            <w:r/>
            <w:r>
              <w:rPr>
                <w:rFonts w:ascii="Calibri" w:hAnsi="Calibri"/>
                <w:b w:val="0"/>
                <w:sz w:val="16"/>
              </w:rPr>
              <w:t>Platform (Services)</w:t>
            </w:r>
          </w:p>
        </w:tc>
        <w:tc>
          <w:tcPr>
            <w:tcW w:type="dxa" w:w="3456"/>
            <w:vAlign w:val="center"/>
          </w:tcPr>
          <w:p>
            <w:pPr>
              <w:spacing w:after="20" w:before="20"/>
            </w:pPr>
            <w:r/>
            <w:r>
              <w:rPr>
                <w:rFonts w:ascii="Calibri" w:hAnsi="Calibri"/>
                <w:b w:val="0"/>
                <w:sz w:val="16"/>
              </w:rPr>
              <w:t>Starter $499/mo; Professional $1,499/mo; Enterprise custom</w:t>
            </w:r>
          </w:p>
        </w:tc>
        <w:tc>
          <w:tcPr>
            <w:tcW w:type="dxa" w:w="3456"/>
            <w:vAlign w:val="center"/>
          </w:tcPr>
          <w:p>
            <w:pPr>
              <w:spacing w:after="20" w:before="20"/>
            </w:pPr>
            <w:r/>
            <w:r>
              <w:rPr>
                <w:rFonts w:ascii="Calibri" w:hAnsi="Calibri"/>
                <w:b w:val="0"/>
                <w:sz w:val="16"/>
              </w:rPr>
              <w:t>What does a directory subscriber get vs. a platform client?</w:t>
            </w:r>
          </w:p>
        </w:tc>
      </w:tr>
      <w:tr>
        <w:tc>
          <w:tcPr>
            <w:tcW w:type="dxa" w:w="3456"/>
            <w:vAlign w:val="center"/>
            <w:shd w:fill="F2F5F8"/>
          </w:tcPr>
          <w:p>
            <w:pPr>
              <w:spacing w:after="20" w:before="20"/>
            </w:pPr>
            <w:r/>
            <w:r>
              <w:rPr>
                <w:rFonts w:ascii="Calibri" w:hAnsi="Calibri"/>
                <w:b w:val="0"/>
                <w:sz w:val="16"/>
              </w:rPr>
              <w:t>GeoAdmin subscriptions</w:t>
            </w:r>
          </w:p>
        </w:tc>
        <w:tc>
          <w:tcPr>
            <w:tcW w:type="dxa" w:w="3456"/>
            <w:vAlign w:val="center"/>
            <w:shd w:fill="F2F5F8"/>
          </w:tcPr>
          <w:p>
            <w:pPr>
              <w:spacing w:after="20" w:before="20"/>
            </w:pPr>
            <w:r/>
            <w:r>
              <w:rPr>
                <w:rFonts w:ascii="Calibri" w:hAnsi="Calibri"/>
                <w:b w:val="0"/>
                <w:sz w:val="16"/>
              </w:rPr>
              <w:t>Free; Essential $29/mo; Pro Verified $79/mo; Pro Max $149/mo; Enterprise $499/mo; 17% off annual; 7-day trial</w:t>
            </w:r>
          </w:p>
        </w:tc>
        <w:tc>
          <w:tcPr>
            <w:tcW w:type="dxa" w:w="3456"/>
            <w:vAlign w:val="center"/>
            <w:shd w:fill="F2F5F8"/>
          </w:tcPr>
          <w:p>
            <w:pPr>
              <w:spacing w:after="20" w:before="20"/>
            </w:pPr>
            <w:r/>
            <w:r>
              <w:rPr>
                <w:rFonts w:ascii="Calibri" w:hAnsi="Calibri"/>
                <w:b w:val="0"/>
                <w:sz w:val="16"/>
              </w:rPr>
              <w:t>Is GeoAdmin included, separate, or the same product renamed?</w:t>
            </w:r>
          </w:p>
        </w:tc>
      </w:tr>
      <w:tr>
        <w:tc>
          <w:tcPr>
            <w:tcW w:type="dxa" w:w="3456"/>
            <w:vAlign w:val="center"/>
          </w:tcPr>
          <w:p>
            <w:pPr>
              <w:spacing w:after="20" w:before="20"/>
            </w:pPr>
            <w:r/>
            <w:r>
              <w:rPr>
                <w:rFonts w:ascii="Calibri" w:hAnsi="Calibri"/>
                <w:b w:val="0"/>
                <w:sz w:val="16"/>
              </w:rPr>
              <w:t>Marketing packs</w:t>
            </w:r>
          </w:p>
        </w:tc>
        <w:tc>
          <w:tcPr>
            <w:tcW w:type="dxa" w:w="3456"/>
            <w:vAlign w:val="center"/>
          </w:tcPr>
          <w:p>
            <w:pPr>
              <w:spacing w:after="20" w:before="20"/>
            </w:pPr>
            <w:r/>
            <w:r>
              <w:rPr>
                <w:rFonts w:ascii="Calibri" w:hAnsi="Calibri"/>
                <w:b w:val="0"/>
                <w:sz w:val="16"/>
              </w:rPr>
              <w:t>From $29; print services; free ad journal</w:t>
            </w:r>
          </w:p>
        </w:tc>
        <w:tc>
          <w:tcPr>
            <w:tcW w:type="dxa" w:w="3456"/>
            <w:vAlign w:val="center"/>
          </w:tcPr>
          <w:p>
            <w:pPr>
              <w:spacing w:after="20" w:before="20"/>
            </w:pPr>
            <w:r/>
            <w:r>
              <w:rPr>
                <w:rFonts w:ascii="Calibri" w:hAnsi="Calibri"/>
                <w:b w:val="0"/>
                <w:sz w:val="16"/>
              </w:rPr>
              <w:t>How do packs relate to subscription tiers?</w:t>
            </w:r>
          </w:p>
        </w:tc>
      </w:tr>
    </w:tbl>
    <w:p>
      <w:pPr>
        <w:spacing w:after="40"/>
      </w:pPr>
    </w:p>
    <w:p>
      <w:pPr>
        <w:pStyle w:val="ListBullet"/>
        <w:spacing w:after="40"/>
        <w:ind w:left="317"/>
      </w:pPr>
      <w:r>
        <w:rPr>
          <w:b/>
          <w:sz w:val="18"/>
        </w:rPr>
        <w:t xml:space="preserve">Payments: </w:t>
      </w:r>
      <w:r>
        <w:rPr>
          <w:sz w:val="18"/>
        </w:rPr>
        <w:t>The site claims 13+ methods (PayPal, Interac, Apple/Google Pay, Visa, crypto). Verify each one end-to-end in test mode, including refunds, before the claim goes live.</w:t>
      </w:r>
    </w:p>
    <w:p>
      <w:pPr>
        <w:pStyle w:val="ListBullet"/>
        <w:spacing w:after="40"/>
        <w:ind w:left="317"/>
      </w:pPr>
      <w:r>
        <w:rPr>
          <w:b/>
          <w:sz w:val="18"/>
        </w:rPr>
        <w:t xml:space="preserve">Reservations: </w:t>
      </w:r>
      <w:r>
        <w:rPr>
          <w:sz w:val="18"/>
        </w:rPr>
        <w:t>Ivory Coast rentals ($95–$450/night) require sign-in and booking is disabled for guests. Decide: guest booking, or request-to-book — and make the disabled state explain itself.</w:t>
      </w:r>
    </w:p>
    <w:p>
      <w:pPr>
        <w:pStyle w:val="Heading2"/>
      </w:pPr>
      <w:r>
        <w:t>Sectors and scale claims</w:t>
      </w:r>
    </w:p>
    <w:p>
      <w:pPr>
        <w:pStyle w:val="ListBullet"/>
        <w:spacing w:after="40"/>
        <w:ind w:left="317"/>
      </w:pPr>
      <w:r>
        <w:rPr>
          <w:b/>
          <w:sz w:val="18"/>
        </w:rPr>
        <w:t xml:space="preserve">“24 industry sectors”: </w:t>
      </w:r>
      <w:r>
        <w:rPr>
          <w:sz w:val="18"/>
        </w:rPr>
        <w:t>Only 8 sector dashboards are linked. Either build the other 16 or change the claim to match what is live.</w:t>
      </w:r>
    </w:p>
    <w:p>
      <w:pPr>
        <w:pStyle w:val="ListBullet"/>
        <w:spacing w:after="40"/>
        <w:ind w:left="317"/>
      </w:pPr>
      <w:r>
        <w:rPr>
          <w:b/>
          <w:sz w:val="18"/>
        </w:rPr>
        <w:t xml:space="preserve">Marketplace: </w:t>
      </w:r>
      <w:r>
        <w:rPr>
          <w:sz w:val="18"/>
        </w:rPr>
        <w:t>Pottery (C$149.99), scarf (C$89.99), sculptures (C$199.99) are visible, but the market is sign-in gated. Open a public browse view; keep checkout gated.</w:t>
      </w:r>
    </w:p>
    <w:p>
      <w:pPr>
        <w:pStyle w:val="ListBullet"/>
        <w:spacing w:after="40"/>
        <w:ind w:left="317"/>
      </w:pPr>
      <w:r>
        <w:rPr>
          <w:b/>
          <w:sz w:val="18"/>
        </w:rPr>
        <w:t xml:space="preserve">Careers: </w:t>
      </w:r>
      <w:r>
        <w:rPr>
          <w:sz w:val="18"/>
        </w:rPr>
        <w:t>One TEST listing today. Post real roles or remove the page from nav until hiring starts.</w:t>
      </w:r>
    </w:p>
    <w:p>
      <w:pPr>
        <w:pStyle w:val="Heading1"/>
      </w:pPr>
      <w:r>
        <w:t>Priority 5 — Trust, claims and external proof</w:t>
      </w:r>
    </w:p>
    <w:p>
      <w:pPr>
        <w:spacing w:after="80"/>
      </w:pPr>
      <w:r>
        <w:rPr>
          <w:i w:val="0"/>
          <w:sz w:val="19"/>
        </w:rPr>
        <w:t>This is the section the outside world will check first. At audit, versoair.com was registered on 5 October 2026 and had no independent footprint: no reviews, no news, no LinkedIn, and no mention of the ArtiHuman Foundation anywhere off the site itself. That is normal at the starting line — but it means every bold claim on the homepage is currently unprovable to a stranger.</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461"/>
            <w:vAlign w:val="center"/>
            <w:shd w:fill="0F2A44"/>
          </w:tcPr>
          <w:p>
            <w:pPr>
              <w:spacing w:after="20" w:before="20"/>
            </w:pPr>
            <w:r/>
            <w:r>
              <w:rPr>
                <w:rFonts w:ascii="Calibri" w:hAnsi="Calibri"/>
                <w:b/>
                <w:color w:val="FFFFFF"/>
                <w:sz w:val="16"/>
              </w:rPr>
              <w:t>☐</w:t>
            </w:r>
          </w:p>
        </w:tc>
        <w:tc>
          <w:tcPr>
            <w:tcW w:type="dxa" w:w="2520"/>
            <w:vAlign w:val="center"/>
            <w:shd w:fill="0F2A44"/>
          </w:tcPr>
          <w:p>
            <w:pPr>
              <w:spacing w:after="20" w:before="20"/>
            </w:pPr>
            <w:r/>
            <w:r>
              <w:rPr>
                <w:rFonts w:ascii="Calibri" w:hAnsi="Calibri"/>
                <w:b/>
                <w:color w:val="FFFFFF"/>
                <w:sz w:val="16"/>
              </w:rPr>
              <w:t>Claim on site</w:t>
            </w:r>
          </w:p>
        </w:tc>
        <w:tc>
          <w:tcPr>
            <w:tcW w:type="dxa" w:w="2664"/>
            <w:vAlign w:val="center"/>
            <w:shd w:fill="0F2A44"/>
          </w:tcPr>
          <w:p>
            <w:pPr>
              <w:spacing w:after="20" w:before="20"/>
            </w:pPr>
            <w:r/>
            <w:r>
              <w:rPr>
                <w:rFonts w:ascii="Calibri" w:hAnsi="Calibri"/>
                <w:b/>
                <w:color w:val="FFFFFF"/>
                <w:sz w:val="16"/>
              </w:rPr>
              <w:t>Status</w:t>
            </w:r>
          </w:p>
        </w:tc>
        <w:tc>
          <w:tcPr>
            <w:tcW w:type="dxa" w:w="5011"/>
            <w:vAlign w:val="center"/>
            <w:shd w:fill="0F2A44"/>
          </w:tcPr>
          <w:p>
            <w:pPr>
              <w:spacing w:after="20" w:before="20"/>
            </w:pPr>
            <w:r/>
            <w:r>
              <w:rPr>
                <w:rFonts w:ascii="Calibri" w:hAnsi="Calibri"/>
                <w:b/>
                <w:color w:val="FFFFFF"/>
                <w:sz w:val="16"/>
              </w:rPr>
              <w:t>Path to launch-safe</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“500+ users”, 4.9/5 rating</w:t>
            </w:r>
          </w:p>
        </w:tc>
        <w:tc>
          <w:tcPr>
            <w:tcW w:type="dxa" w:w="2592"/>
            <w:vAlign w:val="center"/>
          </w:tcPr>
          <w:p>
            <w:pPr>
              <w:spacing w:after="20" w:before="20"/>
            </w:pPr>
            <w:r/>
            <w:r>
              <w:rPr>
                <w:rFonts w:ascii="Calibri" w:hAnsi="Calibri"/>
                <w:b w:val="0"/>
                <w:sz w:val="16"/>
              </w:rPr>
              <w:t>No external reviews found</w:t>
            </w:r>
          </w:p>
        </w:tc>
        <w:tc>
          <w:tcPr>
            <w:tcW w:type="dxa" w:w="2592"/>
            <w:vAlign w:val="center"/>
          </w:tcPr>
          <w:p>
            <w:pPr>
              <w:spacing w:after="20" w:before="20"/>
            </w:pPr>
            <w:r/>
            <w:r>
              <w:rPr>
                <w:rFonts w:ascii="Calibri" w:hAnsi="Calibri"/>
                <w:b w:val="0"/>
                <w:sz w:val="16"/>
              </w:rPr>
              <w:t>Publish methodology, or soften to early-access language until real reviews exist</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Partners: UNESCO, World Bank, African Union</w:t>
            </w:r>
          </w:p>
        </w:tc>
        <w:tc>
          <w:tcPr>
            <w:tcW w:type="dxa" w:w="2592"/>
            <w:vAlign w:val="center"/>
            <w:shd w:fill="F2F5F8"/>
          </w:tcPr>
          <w:p>
            <w:pPr>
              <w:spacing w:after="20" w:before="20"/>
            </w:pPr>
            <w:r/>
            <w:r>
              <w:rPr>
                <w:rFonts w:ascii="Calibri" w:hAnsi="Calibri"/>
                <w:b w:val="0"/>
                <w:sz w:val="16"/>
              </w:rPr>
              <w:t>No corroboration off-site</w:t>
            </w:r>
          </w:p>
        </w:tc>
        <w:tc>
          <w:tcPr>
            <w:tcW w:type="dxa" w:w="2592"/>
            <w:vAlign w:val="center"/>
            <w:shd w:fill="F2F5F8"/>
          </w:tcPr>
          <w:p>
            <w:pPr>
              <w:spacing w:after="20" w:before="20"/>
            </w:pPr>
            <w:r/>
            <w:r>
              <w:rPr>
                <w:rFonts w:ascii="Calibri" w:hAnsi="Calibri"/>
                <w:b w:val="0"/>
                <w:sz w:val="16"/>
              </w:rPr>
              <w:t>Show agreements/logos only with permission; otherwise remove until signed</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ArtiHuman: 10,000+ artisans, $500K+ donated</w:t>
            </w:r>
          </w:p>
        </w:tc>
        <w:tc>
          <w:tcPr>
            <w:tcW w:type="dxa" w:w="2592"/>
            <w:vAlign w:val="center"/>
          </w:tcPr>
          <w:p>
            <w:pPr>
              <w:spacing w:after="20" w:before="20"/>
            </w:pPr>
            <w:r/>
            <w:r>
              <w:rPr>
                <w:rFonts w:ascii="Calibri" w:hAnsi="Calibri"/>
                <w:b w:val="0"/>
                <w:sz w:val="16"/>
              </w:rPr>
              <w:t>Foundation has no off-site presence</w:t>
            </w:r>
          </w:p>
        </w:tc>
        <w:tc>
          <w:tcPr>
            <w:tcW w:type="dxa" w:w="2592"/>
            <w:vAlign w:val="center"/>
          </w:tcPr>
          <w:p>
            <w:pPr>
              <w:spacing w:after="20" w:before="20"/>
            </w:pPr>
            <w:r/>
            <w:r>
              <w:rPr>
                <w:rFonts w:ascii="Calibri" w:hAnsi="Calibri"/>
                <w:b w:val="0"/>
                <w:sz w:val="16"/>
              </w:rPr>
              <w:t>Register/announce the foundation; publish recipient evidence, or label as a goal, not a result</w:t>
            </w:r>
          </w:p>
        </w:tc>
      </w:tr>
      <w:tr>
        <w:tc>
          <w:tcPr>
            <w:tcW w:type="dxa" w:w="2592"/>
            <w:vAlign w:val="center"/>
            <w:shd w:fill="F2F5F8"/>
          </w:tcPr>
          <w:p>
            <w:pPr>
              <w:spacing w:after="20" w:before="20"/>
            </w:pPr>
            <w:r/>
            <w:r>
              <w:rPr>
                <w:rFonts w:ascii="Calibri" w:hAnsi="Calibri"/>
                <w:b w:val="0"/>
                <w:sz w:val="16"/>
              </w:rPr>
              <w:t>☐</w:t>
            </w:r>
          </w:p>
        </w:tc>
        <w:tc>
          <w:tcPr>
            <w:tcW w:type="dxa" w:w="2592"/>
            <w:vAlign w:val="center"/>
            <w:shd w:fill="F2F5F8"/>
          </w:tcPr>
          <w:p>
            <w:pPr>
              <w:spacing w:after="20" w:before="20"/>
            </w:pPr>
            <w:r/>
            <w:r>
              <w:rPr>
                <w:rFonts w:ascii="Calibri" w:hAnsi="Calibri"/>
                <w:b w:val="0"/>
                <w:sz w:val="16"/>
              </w:rPr>
              <w:t>Verso Air as a company</w:t>
            </w:r>
          </w:p>
        </w:tc>
        <w:tc>
          <w:tcPr>
            <w:tcW w:type="dxa" w:w="2592"/>
            <w:vAlign w:val="center"/>
            <w:shd w:fill="F2F5F8"/>
          </w:tcPr>
          <w:p>
            <w:pPr>
              <w:spacing w:after="20" w:before="20"/>
            </w:pPr>
            <w:r/>
            <w:r>
              <w:rPr>
                <w:rFonts w:ascii="Calibri" w:hAnsi="Calibri"/>
                <w:b w:val="0"/>
                <w:sz w:val="16"/>
              </w:rPr>
              <w:t>Domain 1 day old at audit; registrant via Cloudflare (Ontario)</w:t>
            </w:r>
          </w:p>
        </w:tc>
        <w:tc>
          <w:tcPr>
            <w:tcW w:type="dxa" w:w="2592"/>
            <w:vAlign w:val="center"/>
            <w:shd w:fill="F2F5F8"/>
          </w:tcPr>
          <w:p>
            <w:pPr>
              <w:spacing w:after="20" w:before="20"/>
            </w:pPr>
            <w:r/>
            <w:r>
              <w:rPr>
                <w:rFonts w:ascii="Calibri" w:hAnsi="Calibri"/>
                <w:b w:val="0"/>
                <w:sz w:val="16"/>
              </w:rPr>
              <w:t>Incorporate / register the business; add legal name and address; create LinkedIn and Google Business profiles</w:t>
            </w:r>
          </w:p>
        </w:tc>
      </w:tr>
      <w:tr>
        <w:tc>
          <w:tcPr>
            <w:tcW w:type="dxa" w:w="2592"/>
            <w:vAlign w:val="center"/>
          </w:tcPr>
          <w:p>
            <w:pPr>
              <w:spacing w:after="20" w:before="20"/>
            </w:pPr>
            <w:r/>
            <w:r>
              <w:rPr>
                <w:rFonts w:ascii="Calibri" w:hAnsi="Calibri"/>
                <w:b w:val="0"/>
                <w:sz w:val="16"/>
              </w:rPr>
              <w:t>☐</w:t>
            </w:r>
          </w:p>
        </w:tc>
        <w:tc>
          <w:tcPr>
            <w:tcW w:type="dxa" w:w="2592"/>
            <w:vAlign w:val="center"/>
          </w:tcPr>
          <w:p>
            <w:pPr>
              <w:spacing w:after="20" w:before="20"/>
            </w:pPr>
            <w:r/>
            <w:r>
              <w:rPr>
                <w:rFonts w:ascii="Calibri" w:hAnsi="Calibri"/>
                <w:b w:val="0"/>
                <w:sz w:val="16"/>
              </w:rPr>
              <w:t>Testimonials (4.9/5, 500+ users)</w:t>
            </w:r>
          </w:p>
        </w:tc>
        <w:tc>
          <w:tcPr>
            <w:tcW w:type="dxa" w:w="2592"/>
            <w:vAlign w:val="center"/>
          </w:tcPr>
          <w:p>
            <w:pPr>
              <w:spacing w:after="20" w:before="20"/>
            </w:pPr>
            <w:r/>
            <w:r>
              <w:rPr>
                <w:rFonts w:ascii="Calibri" w:hAnsi="Calibri"/>
                <w:b w:val="0"/>
                <w:sz w:val="16"/>
              </w:rPr>
              <w:t>On-site only</w:t>
            </w:r>
          </w:p>
        </w:tc>
        <w:tc>
          <w:tcPr>
            <w:tcW w:type="dxa" w:w="2592"/>
            <w:vAlign w:val="center"/>
          </w:tcPr>
          <w:p>
            <w:pPr>
              <w:spacing w:after="20" w:before="20"/>
            </w:pPr>
            <w:r/>
            <w:r>
              <w:rPr>
                <w:rFonts w:ascii="Calibri" w:hAnsi="Calibri"/>
                <w:b w:val="0"/>
                <w:sz w:val="16"/>
              </w:rPr>
              <w:t>Name real customers with permission, or mark clearly as illustrative until they exist</w:t>
            </w:r>
          </w:p>
        </w:tc>
      </w:tr>
    </w:tbl>
    <w:p>
      <w:pPr>
        <w:spacing w:after="40"/>
      </w:pPr>
    </w:p>
    <w:tbl>
      <w:tblPr>
        <w:tblW w:type="auto" w:w="0"/>
        <w:jc w:val="center"/>
        <w:tblLook w:firstColumn="1" w:firstRow="1" w:lastColumn="0" w:lastRow="0" w:noHBand="0" w:noVBand="1" w:val="04A0"/>
      </w:tblPr>
      <w:tblGrid>
        <w:gridCol w:w="10368"/>
      </w:tblGrid>
      <w:tr>
        <w:tc>
          <w:tcPr>
            <w:tcW w:type="dxa" w:w="10368"/>
            <w:shd w:fill="FFF4E8"/>
          </w:tcPr>
          <w:p>
            <w:r>
              <w:rPr>
                <w:i/>
                <w:color w:val="7A3B14"/>
                <w:sz w:val="17"/>
              </w:rPr>
              <w:t>Fair framing: None of this proves bad faith — it reads as a genuine starting line. The risk is purely sequencing: do not sell $499–$1,499/mo tiers on claims that cannot survive a prospect’s first Google search. Prove first, promote second.</w:t>
            </w:r>
          </w:p>
        </w:tc>
      </w:tr>
    </w:tbl>
    <w:p>
      <w:pPr>
        <w:spacing w:after="40"/>
      </w:pPr>
    </w:p>
    <w:p>
      <w:pPr>
        <w:pStyle w:val="Heading1"/>
      </w:pPr>
      <w:r>
        <w:t>Launch gates — go / no-go before public promotion</w:t>
      </w:r>
    </w:p>
    <w:p>
      <w:pPr>
        <w:spacing w:after="80"/>
      </w:pPr>
      <w:r>
        <w:rPr>
          <w:i w:val="0"/>
          <w:sz w:val="19"/>
        </w:rPr>
        <w:t>Public promotion means ads, press, partnership outreach, or charging. Every box below must be checked first. If one cannot be checked, narrow the launch (one sector, one city, waitlist) until it can.</w:t>
      </w:r>
    </w:p>
    <w:tbl>
      <w:tblPr>
        <w:tblW w:type="auto" w:w="0"/>
        <w:jc w:val="center"/>
        <w:tblLayout w:type="fixed"/>
        <w:tblLook w:firstColumn="1" w:firstRow="1" w:lastColumn="0" w:lastRow="0" w:noHBand="0" w:noVBand="1" w:val="04A0"/>
      </w:tblPr>
      <w:tblGrid>
        <w:gridCol w:w="3456"/>
        <w:gridCol w:w="3456"/>
        <w:gridCol w:w="3456"/>
      </w:tblGrid>
      <w:tr>
        <w:tc>
          <w:tcPr>
            <w:tcW w:type="dxa" w:w="576"/>
            <w:vAlign w:val="center"/>
            <w:shd w:fill="0F2A44"/>
          </w:tcPr>
          <w:p>
            <w:pPr>
              <w:spacing w:after="20" w:before="20"/>
            </w:pPr>
            <w:r/>
            <w:r>
              <w:rPr>
                <w:rFonts w:ascii="Calibri" w:hAnsi="Calibri"/>
                <w:b/>
                <w:color w:val="FFFFFF"/>
                <w:sz w:val="16"/>
              </w:rPr>
              <w:t>☐</w:t>
            </w:r>
          </w:p>
        </w:tc>
        <w:tc>
          <w:tcPr>
            <w:tcW w:type="dxa" w:w="864"/>
            <w:vAlign w:val="center"/>
            <w:shd w:fill="0F2A44"/>
          </w:tcPr>
          <w:p>
            <w:pPr>
              <w:spacing w:after="20" w:before="20"/>
            </w:pPr>
            <w:r/>
            <w:r>
              <w:rPr>
                <w:rFonts w:ascii="Calibri" w:hAnsi="Calibri"/>
                <w:b/>
                <w:color w:val="FFFFFF"/>
                <w:sz w:val="16"/>
              </w:rPr>
              <w:t>Gate</w:t>
            </w:r>
          </w:p>
        </w:tc>
        <w:tc>
          <w:tcPr>
            <w:tcW w:type="dxa" w:w="9216"/>
            <w:vAlign w:val="center"/>
            <w:shd w:fill="0F2A44"/>
          </w:tcPr>
          <w:p>
            <w:pPr>
              <w:spacing w:after="20" w:before="20"/>
            </w:pPr>
            <w:r/>
            <w:r>
              <w:rPr>
                <w:rFonts w:ascii="Calibri" w:hAnsi="Calibri"/>
                <w:b/>
                <w:color w:val="FFFFFF"/>
                <w:sz w:val="16"/>
              </w:rPr>
              <w:t>Criterion</w:t>
            </w:r>
          </w:p>
        </w:tc>
      </w:tr>
      <w:tr>
        <w:tc>
          <w:tcPr>
            <w:tcW w:type="dxa" w:w="3456"/>
            <w:vAlign w:val="center"/>
          </w:tcPr>
          <w:p>
            <w:pPr>
              <w:spacing w:after="20" w:before="20"/>
            </w:pPr>
            <w:r/>
            <w:r>
              <w:rPr>
                <w:rFonts w:ascii="Calibri" w:hAnsi="Calibri"/>
                <w:b w:val="0"/>
                <w:sz w:val="16"/>
              </w:rPr>
              <w:t>☐</w:t>
            </w:r>
          </w:p>
        </w:tc>
        <w:tc>
          <w:tcPr>
            <w:tcW w:type="dxa" w:w="3456"/>
            <w:vAlign w:val="center"/>
          </w:tcPr>
          <w:p>
            <w:pPr>
              <w:spacing w:after="20" w:before="20"/>
            </w:pPr>
            <w:r/>
            <w:r>
              <w:rPr>
                <w:rFonts w:ascii="Calibri" w:hAnsi="Calibri"/>
                <w:b w:val="0"/>
                <w:sz w:val="16"/>
              </w:rPr>
              <w:t>G1</w:t>
            </w:r>
          </w:p>
        </w:tc>
        <w:tc>
          <w:tcPr>
            <w:tcW w:type="dxa" w:w="3456"/>
            <w:vAlign w:val="center"/>
          </w:tcPr>
          <w:p>
            <w:pPr>
              <w:spacing w:after="20" w:before="20"/>
            </w:pPr>
            <w:r/>
            <w:r>
              <w:rPr>
                <w:rFonts w:ascii="Calibri" w:hAnsi="Calibri"/>
                <w:b w:val="0"/>
                <w:sz w:val="16"/>
              </w:rPr>
              <w:t>No 555 number, TEST record, or demo badge visible on any public page</w:t>
            </w:r>
          </w:p>
        </w:tc>
      </w:tr>
      <w:tr>
        <w:tc>
          <w:tcPr>
            <w:tcW w:type="dxa" w:w="3456"/>
            <w:vAlign w:val="center"/>
            <w:shd w:fill="F2F5F8"/>
          </w:tcPr>
          <w:p>
            <w:pPr>
              <w:spacing w:after="20" w:before="20"/>
            </w:pPr>
            <w:r/>
            <w:r>
              <w:rPr>
                <w:rFonts w:ascii="Calibri" w:hAnsi="Calibri"/>
                <w:b w:val="0"/>
                <w:sz w:val="16"/>
              </w:rPr>
              <w:t>☐</w:t>
            </w:r>
          </w:p>
        </w:tc>
        <w:tc>
          <w:tcPr>
            <w:tcW w:type="dxa" w:w="3456"/>
            <w:vAlign w:val="center"/>
            <w:shd w:fill="F2F5F8"/>
          </w:tcPr>
          <w:p>
            <w:pPr>
              <w:spacing w:after="20" w:before="20"/>
            </w:pPr>
            <w:r/>
            <w:r>
              <w:rPr>
                <w:rFonts w:ascii="Calibri" w:hAnsi="Calibri"/>
                <w:b w:val="0"/>
                <w:sz w:val="16"/>
              </w:rPr>
              <w:t>G2</w:t>
            </w:r>
          </w:p>
        </w:tc>
        <w:tc>
          <w:tcPr>
            <w:tcW w:type="dxa" w:w="3456"/>
            <w:vAlign w:val="center"/>
            <w:shd w:fill="F2F5F8"/>
          </w:tcPr>
          <w:p>
            <w:pPr>
              <w:spacing w:after="20" w:before="20"/>
            </w:pPr>
            <w:r/>
            <w:r>
              <w:rPr>
                <w:rFonts w:ascii="Calibri" w:hAnsi="Calibri"/>
                <w:b w:val="0"/>
                <w:sz w:val="16"/>
              </w:rPr>
              <w:t>Every nav link resolves to a populated page — no dead /docs, no empty sectors</w:t>
            </w:r>
          </w:p>
        </w:tc>
      </w:tr>
      <w:tr>
        <w:tc>
          <w:tcPr>
            <w:tcW w:type="dxa" w:w="3456"/>
            <w:vAlign w:val="center"/>
          </w:tcPr>
          <w:p>
            <w:pPr>
              <w:spacing w:after="20" w:before="20"/>
            </w:pPr>
            <w:r/>
            <w:r>
              <w:rPr>
                <w:rFonts w:ascii="Calibri" w:hAnsi="Calibri"/>
                <w:b w:val="0"/>
                <w:sz w:val="16"/>
              </w:rPr>
              <w:t>☐</w:t>
            </w:r>
          </w:p>
        </w:tc>
        <w:tc>
          <w:tcPr>
            <w:tcW w:type="dxa" w:w="3456"/>
            <w:vAlign w:val="center"/>
          </w:tcPr>
          <w:p>
            <w:pPr>
              <w:spacing w:after="20" w:before="20"/>
            </w:pPr>
            <w:r/>
            <w:r>
              <w:rPr>
                <w:rFonts w:ascii="Calibri" w:hAnsi="Calibri"/>
                <w:b w:val="0"/>
                <w:sz w:val="16"/>
              </w:rPr>
              <w:t>G3</w:t>
            </w:r>
          </w:p>
        </w:tc>
        <w:tc>
          <w:tcPr>
            <w:tcW w:type="dxa" w:w="3456"/>
            <w:vAlign w:val="center"/>
          </w:tcPr>
          <w:p>
            <w:pPr>
              <w:spacing w:after="20" w:before="20"/>
            </w:pPr>
            <w:r/>
            <w:r>
              <w:rPr>
                <w:rFonts w:ascii="Calibri" w:hAnsi="Calibri"/>
                <w:b w:val="0"/>
                <w:sz w:val="16"/>
              </w:rPr>
              <w:t>Header search returns real business results (or is honestly labelled)</w:t>
            </w:r>
          </w:p>
        </w:tc>
      </w:tr>
      <w:tr>
        <w:tc>
          <w:tcPr>
            <w:tcW w:type="dxa" w:w="3456"/>
            <w:vAlign w:val="center"/>
            <w:shd w:fill="F2F5F8"/>
          </w:tcPr>
          <w:p>
            <w:pPr>
              <w:spacing w:after="20" w:before="20"/>
            </w:pPr>
            <w:r/>
            <w:r>
              <w:rPr>
                <w:rFonts w:ascii="Calibri" w:hAnsi="Calibri"/>
                <w:b w:val="0"/>
                <w:sz w:val="16"/>
              </w:rPr>
              <w:t>☐</w:t>
            </w:r>
          </w:p>
        </w:tc>
        <w:tc>
          <w:tcPr>
            <w:tcW w:type="dxa" w:w="3456"/>
            <w:vAlign w:val="center"/>
            <w:shd w:fill="F2F5F8"/>
          </w:tcPr>
          <w:p>
            <w:pPr>
              <w:spacing w:after="20" w:before="20"/>
            </w:pPr>
            <w:r/>
            <w:r>
              <w:rPr>
                <w:rFonts w:ascii="Calibri" w:hAnsi="Calibri"/>
                <w:b w:val="0"/>
                <w:sz w:val="16"/>
              </w:rPr>
              <w:t>G4</w:t>
            </w:r>
          </w:p>
        </w:tc>
        <w:tc>
          <w:tcPr>
            <w:tcW w:type="dxa" w:w="3456"/>
            <w:vAlign w:val="center"/>
            <w:shd w:fill="F2F5F8"/>
          </w:tcPr>
          <w:p>
            <w:pPr>
              <w:spacing w:after="20" w:before="20"/>
            </w:pPr>
            <w:r/>
            <w:r>
              <w:rPr>
                <w:rFonts w:ascii="Calibri" w:hAnsi="Calibri"/>
                <w:b w:val="0"/>
                <w:sz w:val="16"/>
              </w:rPr>
              <w:t>Every published count (businesses, categories, users, rating) is pulled from live data</w:t>
            </w:r>
          </w:p>
        </w:tc>
      </w:tr>
      <w:tr>
        <w:tc>
          <w:tcPr>
            <w:tcW w:type="dxa" w:w="3456"/>
            <w:vAlign w:val="center"/>
          </w:tcPr>
          <w:p>
            <w:pPr>
              <w:spacing w:after="20" w:before="20"/>
            </w:pPr>
            <w:r/>
            <w:r>
              <w:rPr>
                <w:rFonts w:ascii="Calibri" w:hAnsi="Calibri"/>
                <w:b w:val="0"/>
                <w:sz w:val="16"/>
              </w:rPr>
              <w:t>☐</w:t>
            </w:r>
          </w:p>
        </w:tc>
        <w:tc>
          <w:tcPr>
            <w:tcW w:type="dxa" w:w="3456"/>
            <w:vAlign w:val="center"/>
          </w:tcPr>
          <w:p>
            <w:pPr>
              <w:spacing w:after="20" w:before="20"/>
            </w:pPr>
            <w:r/>
            <w:r>
              <w:rPr>
                <w:rFonts w:ascii="Calibri" w:hAnsi="Calibri"/>
                <w:b w:val="0"/>
                <w:sz w:val="16"/>
              </w:rPr>
              <w:t>G5</w:t>
            </w:r>
          </w:p>
        </w:tc>
        <w:tc>
          <w:tcPr>
            <w:tcW w:type="dxa" w:w="3456"/>
            <w:vAlign w:val="center"/>
          </w:tcPr>
          <w:p>
            <w:pPr>
              <w:spacing w:after="20" w:before="20"/>
            </w:pPr>
            <w:r/>
            <w:r>
              <w:rPr>
                <w:rFonts w:ascii="Calibri" w:hAnsi="Calibri"/>
                <w:b w:val="0"/>
                <w:sz w:val="16"/>
              </w:rPr>
              <w:t>One pricing story: a buyer can explain what they pay and what they get in one sentence</w:t>
            </w:r>
          </w:p>
        </w:tc>
      </w:tr>
      <w:tr>
        <w:tc>
          <w:tcPr>
            <w:tcW w:type="dxa" w:w="3456"/>
            <w:vAlign w:val="center"/>
            <w:shd w:fill="F2F5F8"/>
          </w:tcPr>
          <w:p>
            <w:pPr>
              <w:spacing w:after="20" w:before="20"/>
            </w:pPr>
            <w:r/>
            <w:r>
              <w:rPr>
                <w:rFonts w:ascii="Calibri" w:hAnsi="Calibri"/>
                <w:b w:val="0"/>
                <w:sz w:val="16"/>
              </w:rPr>
              <w:t>☐</w:t>
            </w:r>
          </w:p>
        </w:tc>
        <w:tc>
          <w:tcPr>
            <w:tcW w:type="dxa" w:w="3456"/>
            <w:vAlign w:val="center"/>
            <w:shd w:fill="F2F5F8"/>
          </w:tcPr>
          <w:p>
            <w:pPr>
              <w:spacing w:after="20" w:before="20"/>
            </w:pPr>
            <w:r/>
            <w:r>
              <w:rPr>
                <w:rFonts w:ascii="Calibri" w:hAnsi="Calibri"/>
                <w:b w:val="0"/>
                <w:sz w:val="16"/>
              </w:rPr>
              <w:t>G6</w:t>
            </w:r>
          </w:p>
        </w:tc>
        <w:tc>
          <w:tcPr>
            <w:tcW w:type="dxa" w:w="3456"/>
            <w:vAlign w:val="center"/>
            <w:shd w:fill="F2F5F8"/>
          </w:tcPr>
          <w:p>
            <w:pPr>
              <w:spacing w:after="20" w:before="20"/>
            </w:pPr>
            <w:r/>
            <w:r>
              <w:rPr>
                <w:rFonts w:ascii="Calibri" w:hAnsi="Calibri"/>
                <w:b w:val="0"/>
                <w:sz w:val="16"/>
              </w:rPr>
              <w:t>Payments tested end-to-end, including a refund, for every method claimed</w:t>
            </w:r>
          </w:p>
        </w:tc>
      </w:tr>
      <w:tr>
        <w:tc>
          <w:tcPr>
            <w:tcW w:type="dxa" w:w="3456"/>
            <w:vAlign w:val="center"/>
          </w:tcPr>
          <w:p>
            <w:pPr>
              <w:spacing w:after="20" w:before="20"/>
            </w:pPr>
            <w:r/>
            <w:r>
              <w:rPr>
                <w:rFonts w:ascii="Calibri" w:hAnsi="Calibri"/>
                <w:b w:val="0"/>
                <w:sz w:val="16"/>
              </w:rPr>
              <w:t>☐</w:t>
            </w:r>
          </w:p>
        </w:tc>
        <w:tc>
          <w:tcPr>
            <w:tcW w:type="dxa" w:w="3456"/>
            <w:vAlign w:val="center"/>
          </w:tcPr>
          <w:p>
            <w:pPr>
              <w:spacing w:after="20" w:before="20"/>
            </w:pPr>
            <w:r/>
            <w:r>
              <w:rPr>
                <w:rFonts w:ascii="Calibri" w:hAnsi="Calibri"/>
                <w:b w:val="0"/>
                <w:sz w:val="16"/>
              </w:rPr>
              <w:t>G7</w:t>
            </w:r>
          </w:p>
        </w:tc>
        <w:tc>
          <w:tcPr>
            <w:tcW w:type="dxa" w:w="3456"/>
            <w:vAlign w:val="center"/>
          </w:tcPr>
          <w:p>
            <w:pPr>
              <w:spacing w:after="20" w:before="20"/>
            </w:pPr>
            <w:r/>
            <w:r>
              <w:rPr>
                <w:rFonts w:ascii="Calibri" w:hAnsi="Calibri"/>
                <w:b w:val="0"/>
                <w:sz w:val="16"/>
              </w:rPr>
              <w:t>Every partner logo and impact number has evidence on file, or is removed</w:t>
            </w:r>
          </w:p>
        </w:tc>
      </w:tr>
      <w:tr>
        <w:tc>
          <w:tcPr>
            <w:tcW w:type="dxa" w:w="3456"/>
            <w:vAlign w:val="center"/>
            <w:shd w:fill="F2F5F8"/>
          </w:tcPr>
          <w:p>
            <w:pPr>
              <w:spacing w:after="20" w:before="20"/>
            </w:pPr>
            <w:r/>
            <w:r>
              <w:rPr>
                <w:rFonts w:ascii="Calibri" w:hAnsi="Calibri"/>
                <w:b w:val="0"/>
                <w:sz w:val="16"/>
              </w:rPr>
              <w:t>☐</w:t>
            </w:r>
          </w:p>
        </w:tc>
        <w:tc>
          <w:tcPr>
            <w:tcW w:type="dxa" w:w="3456"/>
            <w:vAlign w:val="center"/>
            <w:shd w:fill="F2F5F8"/>
          </w:tcPr>
          <w:p>
            <w:pPr>
              <w:spacing w:after="20" w:before="20"/>
            </w:pPr>
            <w:r/>
            <w:r>
              <w:rPr>
                <w:rFonts w:ascii="Calibri" w:hAnsi="Calibri"/>
                <w:b w:val="0"/>
                <w:sz w:val="16"/>
              </w:rPr>
              <w:t>G8</w:t>
            </w:r>
          </w:p>
        </w:tc>
        <w:tc>
          <w:tcPr>
            <w:tcW w:type="dxa" w:w="3456"/>
            <w:vAlign w:val="center"/>
            <w:shd w:fill="F2F5F8"/>
          </w:tcPr>
          <w:p>
            <w:pPr>
              <w:spacing w:after="20" w:before="20"/>
            </w:pPr>
            <w:r/>
            <w:r>
              <w:rPr>
                <w:rFonts w:ascii="Calibri" w:hAnsi="Calibri"/>
                <w:b w:val="0"/>
                <w:sz w:val="16"/>
              </w:rPr>
              <w:t>Legal identity live: business registration, address, privacy policy, terms, monitored support inbox</w:t>
            </w:r>
          </w:p>
        </w:tc>
      </w:tr>
      <w:tr>
        <w:tc>
          <w:tcPr>
            <w:tcW w:type="dxa" w:w="3456"/>
            <w:vAlign w:val="center"/>
          </w:tcPr>
          <w:p>
            <w:pPr>
              <w:spacing w:after="20" w:before="20"/>
            </w:pPr>
            <w:r/>
            <w:r>
              <w:rPr>
                <w:rFonts w:ascii="Calibri" w:hAnsi="Calibri"/>
                <w:b w:val="0"/>
                <w:sz w:val="16"/>
              </w:rPr>
              <w:t>☐</w:t>
            </w:r>
          </w:p>
        </w:tc>
        <w:tc>
          <w:tcPr>
            <w:tcW w:type="dxa" w:w="3456"/>
            <w:vAlign w:val="center"/>
          </w:tcPr>
          <w:p>
            <w:pPr>
              <w:spacing w:after="20" w:before="20"/>
            </w:pPr>
            <w:r/>
            <w:r>
              <w:rPr>
                <w:rFonts w:ascii="Calibri" w:hAnsi="Calibri"/>
                <w:b w:val="0"/>
                <w:sz w:val="16"/>
              </w:rPr>
              <w:t>G9</w:t>
            </w:r>
          </w:p>
        </w:tc>
        <w:tc>
          <w:tcPr>
            <w:tcW w:type="dxa" w:w="3456"/>
            <w:vAlign w:val="center"/>
          </w:tcPr>
          <w:p>
            <w:pPr>
              <w:spacing w:after="20" w:before="20"/>
            </w:pPr>
            <w:r/>
            <w:r>
              <w:rPr>
                <w:rFonts w:ascii="Calibri" w:hAnsi="Calibri"/>
                <w:b w:val="0"/>
                <w:sz w:val="16"/>
              </w:rPr>
              <w:t>A stranger can verify Verso Air exists off the site (LinkedIn / registry / press) in under two minutes</w:t>
            </w:r>
          </w:p>
        </w:tc>
      </w:tr>
      <w:tr>
        <w:tc>
          <w:tcPr>
            <w:tcW w:type="dxa" w:w="3456"/>
            <w:vAlign w:val="center"/>
            <w:shd w:fill="F2F5F8"/>
          </w:tcPr>
          <w:p>
            <w:pPr>
              <w:spacing w:after="20" w:before="20"/>
            </w:pPr>
            <w:r/>
            <w:r>
              <w:rPr>
                <w:rFonts w:ascii="Calibri" w:hAnsi="Calibri"/>
                <w:b w:val="0"/>
                <w:sz w:val="16"/>
              </w:rPr>
              <w:t>☐</w:t>
            </w:r>
          </w:p>
        </w:tc>
        <w:tc>
          <w:tcPr>
            <w:tcW w:type="dxa" w:w="3456"/>
            <w:vAlign w:val="center"/>
            <w:shd w:fill="F2F5F8"/>
          </w:tcPr>
          <w:p>
            <w:pPr>
              <w:spacing w:after="20" w:before="20"/>
            </w:pPr>
            <w:r/>
            <w:r>
              <w:rPr>
                <w:rFonts w:ascii="Calibri" w:hAnsi="Calibri"/>
                <w:b w:val="0"/>
                <w:sz w:val="16"/>
              </w:rPr>
              <w:t>G10</w:t>
            </w:r>
          </w:p>
        </w:tc>
        <w:tc>
          <w:tcPr>
            <w:tcW w:type="dxa" w:w="3456"/>
            <w:vAlign w:val="center"/>
            <w:shd w:fill="F2F5F8"/>
          </w:tcPr>
          <w:p>
            <w:pPr>
              <w:spacing w:after="20" w:before="20"/>
            </w:pPr>
            <w:r/>
            <w:r>
              <w:rPr>
                <w:rFonts w:ascii="Calibri" w:hAnsi="Calibri"/>
                <w:b w:val="0"/>
                <w:sz w:val="16"/>
              </w:rPr>
              <w:t>Full guest-to-customer test passed on mobile and desktop, FR and EN</w:t>
            </w:r>
          </w:p>
        </w:tc>
      </w:tr>
    </w:tbl>
    <w:p>
      <w:pPr>
        <w:spacing w:after="40"/>
      </w:pPr>
    </w:p>
    <w:p>
      <w:pPr>
        <w:pStyle w:val="Heading1"/>
      </w:pPr>
      <w:r>
        <w:t>Suggested sequence — first 30 days</w:t>
      </w:r>
    </w:p>
    <w:tbl>
      <w:tblPr>
        <w:tblW w:type="auto" w:w="0"/>
        <w:jc w:val="center"/>
        <w:tblLayout w:type="fixed"/>
        <w:tblLook w:firstColumn="1" w:firstRow="1" w:lastColumn="0" w:lastRow="0" w:noHBand="0" w:noVBand="1" w:val="04A0"/>
      </w:tblPr>
      <w:tblGrid>
        <w:gridCol w:w="3456"/>
        <w:gridCol w:w="3456"/>
        <w:gridCol w:w="3456"/>
      </w:tblGrid>
      <w:tr>
        <w:tc>
          <w:tcPr>
            <w:tcW w:type="dxa" w:w="1008"/>
            <w:vAlign w:val="center"/>
            <w:shd w:fill="0F2A44"/>
          </w:tcPr>
          <w:p>
            <w:pPr>
              <w:spacing w:after="20" w:before="20"/>
            </w:pPr>
            <w:r/>
            <w:r>
              <w:rPr>
                <w:rFonts w:ascii="Calibri" w:hAnsi="Calibri"/>
                <w:b/>
                <w:color w:val="FFFFFF"/>
                <w:sz w:val="16"/>
              </w:rPr>
              <w:t>Week</w:t>
            </w:r>
          </w:p>
        </w:tc>
        <w:tc>
          <w:tcPr>
            <w:tcW w:type="dxa" w:w="4752"/>
            <w:vAlign w:val="center"/>
            <w:shd w:fill="0F2A44"/>
          </w:tcPr>
          <w:p>
            <w:pPr>
              <w:spacing w:after="20" w:before="20"/>
            </w:pPr>
            <w:r/>
            <w:r>
              <w:rPr>
                <w:rFonts w:ascii="Calibri" w:hAnsi="Calibri"/>
                <w:b/>
                <w:color w:val="FFFFFF"/>
                <w:sz w:val="16"/>
              </w:rPr>
              <w:t>Focus</w:t>
            </w:r>
          </w:p>
        </w:tc>
        <w:tc>
          <w:tcPr>
            <w:tcW w:type="dxa" w:w="4896"/>
            <w:vAlign w:val="center"/>
            <w:shd w:fill="0F2A44"/>
          </w:tcPr>
          <w:p>
            <w:pPr>
              <w:spacing w:after="20" w:before="20"/>
            </w:pPr>
            <w:r/>
            <w:r>
              <w:rPr>
                <w:rFonts w:ascii="Calibri" w:hAnsi="Calibri"/>
                <w:b/>
                <w:color w:val="FFFFFF"/>
                <w:sz w:val="16"/>
              </w:rPr>
              <w:t>Exit result</w:t>
            </w:r>
          </w:p>
        </w:tc>
      </w:tr>
      <w:tr>
        <w:tc>
          <w:tcPr>
            <w:tcW w:type="dxa" w:w="3456"/>
            <w:vAlign w:val="center"/>
          </w:tcPr>
          <w:p>
            <w:pPr>
              <w:spacing w:after="20" w:before="20"/>
            </w:pPr>
            <w:r/>
            <w:r>
              <w:rPr>
                <w:rFonts w:ascii="Calibri" w:hAnsi="Calibri"/>
                <w:b w:val="0"/>
                <w:sz w:val="16"/>
              </w:rPr>
              <w:t>1</w:t>
            </w:r>
          </w:p>
        </w:tc>
        <w:tc>
          <w:tcPr>
            <w:tcW w:type="dxa" w:w="3456"/>
            <w:vAlign w:val="center"/>
          </w:tcPr>
          <w:p>
            <w:pPr>
              <w:spacing w:after="20" w:before="20"/>
            </w:pPr>
            <w:r/>
            <w:r>
              <w:rPr>
                <w:rFonts w:ascii="Calibri" w:hAnsi="Calibri"/>
                <w:b w:val="0"/>
                <w:sz w:val="16"/>
              </w:rPr>
              <w:t>Priority 1 quick wins; decide launch geography and sector</w:t>
            </w:r>
          </w:p>
        </w:tc>
        <w:tc>
          <w:tcPr>
            <w:tcW w:type="dxa" w:w="3456"/>
            <w:vAlign w:val="center"/>
          </w:tcPr>
          <w:p>
            <w:pPr>
              <w:spacing w:after="20" w:before="20"/>
            </w:pPr>
            <w:r/>
            <w:r>
              <w:rPr>
                <w:rFonts w:ascii="Calibri" w:hAnsi="Calibri"/>
                <w:b w:val="0"/>
                <w:sz w:val="16"/>
              </w:rPr>
              <w:t>No placeholder signals anywhere public</w:t>
            </w:r>
          </w:p>
        </w:tc>
      </w:tr>
      <w:tr>
        <w:tc>
          <w:tcPr>
            <w:tcW w:type="dxa" w:w="3456"/>
            <w:vAlign w:val="center"/>
            <w:shd w:fill="F2F5F8"/>
          </w:tcPr>
          <w:p>
            <w:pPr>
              <w:spacing w:after="20" w:before="20"/>
            </w:pPr>
            <w:r/>
            <w:r>
              <w:rPr>
                <w:rFonts w:ascii="Calibri" w:hAnsi="Calibri"/>
                <w:b w:val="0"/>
                <w:sz w:val="16"/>
              </w:rPr>
              <w:t>2</w:t>
            </w:r>
          </w:p>
        </w:tc>
        <w:tc>
          <w:tcPr>
            <w:tcW w:type="dxa" w:w="3456"/>
            <w:vAlign w:val="center"/>
            <w:shd w:fill="F2F5F8"/>
          </w:tcPr>
          <w:p>
            <w:pPr>
              <w:spacing w:after="20" w:before="20"/>
            </w:pPr>
            <w:r/>
            <w:r>
              <w:rPr>
                <w:rFonts w:ascii="Calibri" w:hAnsi="Calibri"/>
                <w:b w:val="0"/>
                <w:sz w:val="16"/>
              </w:rPr>
              <w:t>Priority 2 data sprint: populate launch sector/city; fix offline databases</w:t>
            </w:r>
          </w:p>
        </w:tc>
        <w:tc>
          <w:tcPr>
            <w:tcW w:type="dxa" w:w="3456"/>
            <w:vAlign w:val="center"/>
            <w:shd w:fill="F2F5F8"/>
          </w:tcPr>
          <w:p>
            <w:pPr>
              <w:spacing w:after="20" w:before="20"/>
            </w:pPr>
            <w:r/>
            <w:r>
              <w:rPr>
                <w:rFonts w:ascii="Calibri" w:hAnsi="Calibri"/>
                <w:b w:val="0"/>
                <w:sz w:val="16"/>
              </w:rPr>
              <w:t>Directory is real in the launch footprint</w:t>
            </w:r>
          </w:p>
        </w:tc>
      </w:tr>
      <w:tr>
        <w:tc>
          <w:tcPr>
            <w:tcW w:type="dxa" w:w="3456"/>
            <w:vAlign w:val="center"/>
          </w:tcPr>
          <w:p>
            <w:pPr>
              <w:spacing w:after="20" w:before="20"/>
            </w:pPr>
            <w:r/>
            <w:r>
              <w:rPr>
                <w:rFonts w:ascii="Calibri" w:hAnsi="Calibri"/>
                <w:b w:val="0"/>
                <w:sz w:val="16"/>
              </w:rPr>
              <w:t>3</w:t>
            </w:r>
          </w:p>
        </w:tc>
        <w:tc>
          <w:tcPr>
            <w:tcW w:type="dxa" w:w="3456"/>
            <w:vAlign w:val="center"/>
          </w:tcPr>
          <w:p>
            <w:pPr>
              <w:spacing w:after="20" w:before="20"/>
            </w:pPr>
            <w:r/>
            <w:r>
              <w:rPr>
                <w:rFonts w:ascii="Calibri" w:hAnsi="Calibri"/>
                <w:b w:val="0"/>
                <w:sz w:val="16"/>
              </w:rPr>
              <w:t>Priorities 3–4: search, /docs, pricing reconciliation, payment tests</w:t>
            </w:r>
          </w:p>
        </w:tc>
        <w:tc>
          <w:tcPr>
            <w:tcW w:type="dxa" w:w="3456"/>
            <w:vAlign w:val="center"/>
          </w:tcPr>
          <w:p>
            <w:pPr>
              <w:spacing w:after="20" w:before="20"/>
            </w:pPr>
            <w:r/>
            <w:r>
              <w:rPr>
                <w:rFonts w:ascii="Calibri" w:hAnsi="Calibri"/>
                <w:b w:val="0"/>
                <w:sz w:val="16"/>
              </w:rPr>
              <w:t>A stranger can sign up, pay, and succeed unaided</w:t>
            </w:r>
          </w:p>
        </w:tc>
      </w:tr>
      <w:tr>
        <w:tc>
          <w:tcPr>
            <w:tcW w:type="dxa" w:w="3456"/>
            <w:vAlign w:val="center"/>
            <w:shd w:fill="F2F5F8"/>
          </w:tcPr>
          <w:p>
            <w:pPr>
              <w:spacing w:after="20" w:before="20"/>
            </w:pPr>
            <w:r/>
            <w:r>
              <w:rPr>
                <w:rFonts w:ascii="Calibri" w:hAnsi="Calibri"/>
                <w:b w:val="0"/>
                <w:sz w:val="16"/>
              </w:rPr>
              <w:t>4</w:t>
            </w:r>
          </w:p>
        </w:tc>
        <w:tc>
          <w:tcPr>
            <w:tcW w:type="dxa" w:w="3456"/>
            <w:vAlign w:val="center"/>
            <w:shd w:fill="F2F5F8"/>
          </w:tcPr>
          <w:p>
            <w:pPr>
              <w:spacing w:after="20" w:before="20"/>
            </w:pPr>
            <w:r/>
            <w:r>
              <w:rPr>
                <w:rFonts w:ascii="Calibri" w:hAnsi="Calibri"/>
                <w:b w:val="0"/>
                <w:sz w:val="16"/>
              </w:rPr>
              <w:t>Priority 5: registration, profiles, claim evidence; run all Launch Gates</w:t>
            </w:r>
          </w:p>
        </w:tc>
        <w:tc>
          <w:tcPr>
            <w:tcW w:type="dxa" w:w="3456"/>
            <w:vAlign w:val="center"/>
            <w:shd w:fill="F2F5F8"/>
          </w:tcPr>
          <w:p>
            <w:pPr>
              <w:spacing w:after="20" w:before="20"/>
            </w:pPr>
            <w:r/>
            <w:r>
              <w:rPr>
                <w:rFonts w:ascii="Calibri" w:hAnsi="Calibri"/>
                <w:b w:val="0"/>
                <w:sz w:val="16"/>
              </w:rPr>
              <w:t>Go / no-go decision on evidence, not optimism</w:t>
            </w:r>
          </w:p>
        </w:tc>
      </w:tr>
    </w:tbl>
    <w:p>
      <w:pPr>
        <w:spacing w:after="40"/>
      </w:pPr>
    </w:p>
    <w:p>
      <w:pPr>
        <w:spacing w:after="40"/>
      </w:pPr>
      <w:r>
        <w:rPr>
          <w:i/>
          <w:color w:val="5A6B7D"/>
          <w:sz w:val="19"/>
        </w:rPr>
        <w:t>The site’s breadth is the asset. The launch move is to make the first slice of it undeniably real — then let the other sectors, markets and claims earn their way onto the homepage as they become true.</w:t>
      </w:r>
    </w:p>
    <w:p>
      <w:pPr>
        <w:pStyle w:val="Heading1"/>
      </w:pPr>
      <w:r>
        <w:t>Appendix — audit basis</w:t>
      </w:r>
    </w:p>
    <w:p>
      <w:pPr>
        <w:spacing w:after="100"/>
      </w:pPr>
      <w:r>
        <w:rPr>
          <w:i w:val="0"/>
          <w:color w:val="5A6B7D"/>
          <w:sz w:val="17"/>
        </w:rPr>
        <w:t>This checklist is built from a full walkthrough of versoair.com (homepage, about, services, marketing hub, reservations, pricing/GeoAdmin, help, contact, system status, documentation link, GPS services, header search, and eight sector pages) plus an external check of the domain registration and public footprint, both on 6 October 2026. Status values on /status (99.98–100% uptime, no incidents) were live at audit. Where a page was login-gated or a database reported offline, that is stated rather than assumed.</w:t>
      </w:r>
    </w:p>
    <w:sectPr w:rsidR="00FC693F" w:rsidRPr="0006063C" w:rsidSect="00034616">
      <w:headerReference w:type="default" r:id="rId9"/>
      <w:footerReference w:type="default" r:id="rId10"/>
      <w:pgSz w:w="12240" w:h="15840"/>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D"/>
        <w:sz w:val="14"/>
      </w:rPr>
      <w:t xml:space="preserve">Verso Air — Launch Checklist  •  Based on site audit, 6 October 2026  •  Page </w:t>
    </w:r>
    <w:fldSimple w:instr=" PAGE "/>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B7D"/>
        <w:sz w:val="14"/>
      </w:rPr>
      <w:t>VERSO AIR™  •  CONFIDENTIAL  •  LAUNCH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Calibri" w:hAnsi="Calibri"/>
      <w:color w:val="222E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0F2A44"/>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0E9B9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4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Verso Air — Launch Checklist</dc:title>
  <dc:subject>Prioritized launch checklist from the 6 October 2026 versoair.com audit</dc:subject>
  <dc:creator>Verso Air</dc:creator>
  <cp:keywords>Verso Air, launch checklist, versoair.com</cp:keywords>
  <dc:description>generated by python-docx</dc:description>
  <cp:lastModifiedBy/>
  <cp:revision>1</cp:revision>
  <dcterms:created xsi:type="dcterms:W3CDTF">2013-12-23T23:15:00Z</dcterms:created>
  <dcterms:modified xsi:type="dcterms:W3CDTF">2013-12-23T23:15:00Z</dcterms:modified>
  <cp:category/>
</cp:coreProperties>
</file>