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153.png" ContentType="image/png"/>
  <Override PartName="/word/media/rId156.png" ContentType="image/png"/>
  <Override PartName="/word/media/rId117.png" ContentType="image/png"/>
  <Override PartName="/word/media/rId120.png" ContentType="image/png"/>
  <Override PartName="/word/media/rId81.png" ContentType="image/png"/>
  <Override PartName="/word/media/rId84.png" ContentType="image/png"/>
  <Override PartName="/word/media/rId45.png" ContentType="image/png"/>
  <Override PartName="/word/media/rId48.png" ContentType="image/png"/>
  <Override PartName="/word/media/image2.png" ContentType="image/png"/>
  <Override PartName="/word/media/image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Comparative Backtesting Study of Machine Learning and Rule-Based Trading Strategies in Cryptocurrency Markets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Group Members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Matriculation Number</w:t>
            </w:r>
          </w:p>
        </w:tc>
      </w:tr>
      <w:tr>
        <w:tc>
          <w:tcPr/>
          <w:p>
            <w:pPr>
              <w:pStyle w:val="Compact"/>
            </w:pPr>
            <w:r>
              <w:t xml:space="preserve">Lau Ming Jie</w:t>
            </w:r>
          </w:p>
        </w:tc>
        <w:tc>
          <w:tcPr/>
          <w:p>
            <w:pPr>
              <w:pStyle w:val="Compact"/>
            </w:pPr>
            <w:r>
              <w:t xml:space="preserve">A0272632H</w:t>
            </w:r>
          </w:p>
        </w:tc>
      </w:tr>
      <w:tr>
        <w:tc>
          <w:tcPr/>
          <w:p>
            <w:pPr>
              <w:pStyle w:val="Compact"/>
            </w:pPr>
            <w:r>
              <w:t xml:space="preserve">Loo Wen Wen</w:t>
            </w:r>
          </w:p>
        </w:tc>
        <w:tc>
          <w:tcPr/>
          <w:p>
            <w:pPr>
              <w:pStyle w:val="Compact"/>
            </w:pPr>
            <w:r>
              <w:t xml:space="preserve">A0259594J</w:t>
            </w:r>
          </w:p>
        </w:tc>
      </w:tr>
      <w:tr>
        <w:tc>
          <w:tcPr/>
          <w:p>
            <w:pPr>
              <w:pStyle w:val="Compact"/>
            </w:pPr>
            <w:r>
              <w:t xml:space="preserve">Low Ruo Fei Evie</w:t>
            </w:r>
          </w:p>
        </w:tc>
        <w:tc>
          <w:tcPr/>
          <w:p>
            <w:pPr>
              <w:pStyle w:val="Compact"/>
            </w:pPr>
            <w:r>
              <w:t xml:space="preserve">A0259605X</w:t>
            </w:r>
          </w:p>
        </w:tc>
      </w:tr>
      <w:tr>
        <w:tc>
          <w:tcPr/>
          <w:p>
            <w:pPr>
              <w:pStyle w:val="Compact"/>
            </w:pPr>
            <w:r>
              <w:t xml:space="preserve">Wilbert Christopher Kurniawan</w:t>
            </w:r>
          </w:p>
        </w:tc>
        <w:tc>
          <w:tcPr/>
          <w:p>
            <w:pPr>
              <w:pStyle w:val="Compact"/>
            </w:pPr>
            <w:r>
              <w:t xml:space="preserve">A0282267X</w:t>
            </w:r>
          </w:p>
        </w:tc>
      </w:tr>
      <w:tr>
        <w:tc>
          <w:tcPr/>
          <w:p>
            <w:pPr>
              <w:pStyle w:val="Compact"/>
            </w:pPr>
            <w:r>
              <w:t xml:space="preserve">Wu Xuande</w:t>
            </w:r>
          </w:p>
        </w:tc>
        <w:tc>
          <w:tcPr/>
          <w:p>
            <w:pPr>
              <w:pStyle w:val="Compact"/>
            </w:pPr>
            <w:r>
              <w:t xml:space="preserve">A0287897W</w:t>
            </w:r>
          </w:p>
        </w:tc>
      </w:tr>
    </w:tbl>
    <w:p>
      <w:pPr>
        <w:pStyle w:val="BodyText"/>
      </w:pPr>
      <w:r>
        <w:rPr>
          <w:b/>
          <w:bCs/>
        </w:rPr>
        <w:t xml:space="preserve">GitHub Repository:</w:t>
      </w:r>
      <w:r>
        <w:t xml:space="preserve"> </w:t>
      </w:r>
      <w:hyperlink r:id="rId129">
        <w:r>
          <w:rPr>
            <w:rStyle w:val="Hyperlink"/>
          </w:rPr>
          <w:t xml:space="preserve">https://github.com/xdewu0508/QF4211Project</w:t>
        </w:r>
      </w:hyperlink>
    </w:p>
    <w:bookmarkStart w:id="130" w:name="introduction"/>
    <w:p>
      <w:pPr>
        <w:pStyle w:val="Heading1"/>
      </w:pPr>
      <w:r>
        <w:rPr>
          <w:rStyle w:val="SectionNumber"/>
        </w:rPr>
        <w:t xml:space="preserve">1</w:t>
      </w:r>
      <w:r>
        <w:tab/>
      </w:r>
      <w:r>
        <w:t xml:space="preserve">Introduction</w:t>
      </w:r>
    </w:p>
    <w:p>
      <w:pPr>
        <w:pStyle w:val="FirstParagraph"/>
      </w:pPr>
      <w:r>
        <w:t xml:space="preserve">Cryptocurrency markets operate continuously, exhibit large regime shifts, and lack the conventional valuation anchors that often guide trading in equities or bonds. In such markets, technical trading rules based on price, volume, and momentum remain common, while machine-learning models promise greater flexibility in capturing non-linear and sequential structure. The practical question, however, is not whether a model can generate directional predictions in isolation, but whether those signals survive a realistic backtest once trading frictions and portfolio turnover are taken seriously.</w:t>
      </w:r>
    </w:p>
    <w:p>
      <w:pPr>
        <w:pStyle w:val="BodyText"/>
      </w:pPr>
      <w:r>
        <w:t xml:space="preserve">This study therefore asks a focused empirical question:</w:t>
      </w:r>
      <w:r>
        <w:t xml:space="preserve"> </w:t>
      </w:r>
      <w:r>
        <w:rPr>
          <w:b/>
          <w:bCs/>
        </w:rPr>
        <w:t xml:space="preserve">under a common hourly backtesting framework with transaction costs, do machine-learning strategies outperform rule-based technical strategies and passive buy-and-hold benchmarks across BTC, ETH, XRP, and SOL?</w:t>
      </w:r>
      <w:r>
        <w:t xml:space="preserve"> </w:t>
      </w:r>
      <w:r>
        <w:t xml:space="preserve">We evaluate four machine-learning models (Logistic Regression, XGBoost, LightGBM, and GRU), two traditional rule-based strategies (SMA and RSI), and a buy-and-hold benchmark under long-only, short-only, and long-short structures.</w:t>
      </w:r>
    </w:p>
    <w:p>
      <w:pPr>
        <w:pStyle w:val="BodyText"/>
      </w:pPr>
      <w:r>
        <w:t xml:space="preserve">Our contribution is a cost-aware, cross-asset comparison rather than a claim that machine learning consistently dominates cryptocurrency trading. The results show that long-only strategies are the most stable active structure, but that transaction costs substantially erode performance. Machine-learning models provide pockets of improvement in selected settings, yet they do not deliver robust, statistically significant outperformance over simpler alternatives within the current evaluation design.</w:t>
      </w:r>
    </w:p>
    <w:bookmarkEnd w:id="130"/>
    <w:bookmarkStart w:id="134" w:name="literature-review"/>
    <w:p>
      <w:pPr>
        <w:pStyle w:val="Heading1"/>
      </w:pPr>
      <w:r>
        <w:rPr>
          <w:rStyle w:val="SectionNumber"/>
        </w:rPr>
        <w:t xml:space="preserve">2</w:t>
      </w:r>
      <w:r>
        <w:tab/>
      </w:r>
      <w:r>
        <w:t xml:space="preserve">Literature Review</w:t>
      </w:r>
    </w:p>
    <w:bookmarkStart w:id="131" w:name="X3e280cf722d0fa02d68de7571d85027a47c97ae"/>
    <w:p>
      <w:pPr>
        <w:pStyle w:val="Heading2"/>
      </w:pPr>
      <w:r>
        <w:rPr>
          <w:rStyle w:val="SectionNumber"/>
        </w:rPr>
        <w:t xml:space="preserve">2.1</w:t>
      </w:r>
      <w:r>
        <w:tab/>
      </w:r>
      <w:r>
        <w:t xml:space="preserve">Traditional Technical Trading in Cryptocurrency Markets</w:t>
      </w:r>
    </w:p>
    <w:p>
      <w:pPr>
        <w:pStyle w:val="FirstParagraph"/>
      </w:pPr>
      <w:r>
        <w:t xml:space="preserve">Because cryptocurrency assets do not generate cash flows or dividends, market participants often rely on technical indicators such as moving averages and RSI to form trading signals. Prior work has shown that technical rules can outperform passive exposure in some cryptocurrency settings, but the results are highly sensitive to parameter choice, market state, and transaction-cost assumptions. Another gap in the literature is that many studies emphasize long-only designs, leaving the behavior of short-only and long-short structures less examined.</w:t>
      </w:r>
    </w:p>
    <w:bookmarkEnd w:id="131"/>
    <w:bookmarkStart w:id="132" w:name="machine-learning-in-trading"/>
    <w:p>
      <w:pPr>
        <w:pStyle w:val="Heading2"/>
      </w:pPr>
      <w:r>
        <w:rPr>
          <w:rStyle w:val="SectionNumber"/>
        </w:rPr>
        <w:t xml:space="preserve">2.2</w:t>
      </w:r>
      <w:r>
        <w:tab/>
      </w:r>
      <w:r>
        <w:t xml:space="preserve">Machine Learning in Trading</w:t>
      </w:r>
    </w:p>
    <w:p>
      <w:pPr>
        <w:pStyle w:val="FirstParagraph"/>
      </w:pPr>
      <w:r>
        <w:t xml:space="preserve">Machine-learning approaches have become increasingly common in cryptocurrency forecasting, with linear models, boosted trees, and recurrent neural networks all appearing in the literature. These models can capture non-linear interactions and temporal dependencies that simple rule-based systems may miss. At the same time, the literature repeatedly warns that strong in-sample performance does not guarantee robust out-of-sample trading gains, especially in non-stationary markets with substantial execution frictions.</w:t>
      </w:r>
    </w:p>
    <w:bookmarkEnd w:id="132"/>
    <w:bookmarkStart w:id="133" w:name="positioning-our-study"/>
    <w:p>
      <w:pPr>
        <w:pStyle w:val="Heading2"/>
      </w:pPr>
      <w:r>
        <w:rPr>
          <w:rStyle w:val="SectionNumber"/>
        </w:rPr>
        <w:t xml:space="preserve">2.3</w:t>
      </w:r>
      <w:r>
        <w:tab/>
      </w:r>
      <w:r>
        <w:t xml:space="preserve">Positioning Our Study</w:t>
      </w:r>
    </w:p>
    <w:p>
      <w:pPr>
        <w:pStyle w:val="FirstParagraph"/>
      </w:pPr>
      <w:r>
        <w:t xml:space="preserve">This project sits between replication and extension. We adopt the hourly, feature-based cryptocurrency prediction setting of the reference paper, but expand the comparison across four assets and multiple strategy structures while explicitly incorporating a 0.035% transaction fee per unit position change. The study prioritizes economic evaluation rather than raw classification quality: strategies are compared using cumulative return, drawdown, turnover, trading frequency, and Sharpe-style metrics. At the same time, our claims remain deliberately scoped to the submitted evaluation design rather than to all market regimes or all possible crypto trading environments.</w:t>
      </w:r>
    </w:p>
    <w:bookmarkEnd w:id="133"/>
    <w:bookmarkEnd w:id="134"/>
    <w:bookmarkStart w:id="139" w:name="data-and-preprocessing"/>
    <w:p>
      <w:pPr>
        <w:pStyle w:val="Heading1"/>
      </w:pPr>
      <w:r>
        <w:rPr>
          <w:rStyle w:val="SectionNumber"/>
        </w:rPr>
        <w:t xml:space="preserve">3</w:t>
      </w:r>
      <w:r>
        <w:tab/>
      </w:r>
      <w:r>
        <w:t xml:space="preserve">Data and Preprocessing</w:t>
      </w:r>
    </w:p>
    <w:bookmarkStart w:id="135" w:name="data-source-and-assets"/>
    <w:p>
      <w:pPr>
        <w:pStyle w:val="Heading2"/>
      </w:pPr>
      <w:r>
        <w:rPr>
          <w:rStyle w:val="SectionNumber"/>
        </w:rPr>
        <w:t xml:space="preserve">3.1</w:t>
      </w:r>
      <w:r>
        <w:tab/>
      </w:r>
      <w:r>
        <w:t xml:space="preserve">Data Source and Assets</w:t>
      </w:r>
    </w:p>
    <w:p>
      <w:pPr>
        <w:pStyle w:val="FirstParagraph"/>
      </w:pPr>
      <w:r>
        <w:t xml:space="preserve">The dataset is drawn from Binance public hourly candlestick files for four liquid USDT spot pairs: BTC/USDT, ETH/USDT, XRP/USDT, and SOL/USDT. These assets were selected to provide a mix of large-cap and higher-beta behavior while keeping the market venue, fee assumptions, and data structure consistent across the analysis.</w:t>
      </w:r>
    </w:p>
    <w:bookmarkEnd w:id="135"/>
    <w:bookmarkStart w:id="136" w:name="sample-period"/>
    <w:p>
      <w:pPr>
        <w:pStyle w:val="Heading2"/>
      </w:pPr>
      <w:r>
        <w:rPr>
          <w:rStyle w:val="SectionNumber"/>
        </w:rPr>
        <w:t xml:space="preserve">3.2</w:t>
      </w:r>
      <w:r>
        <w:tab/>
      </w:r>
      <w:r>
        <w:t xml:space="preserve">Sample Period</w:t>
      </w:r>
    </w:p>
    <w:p>
      <w:pPr>
        <w:pStyle w:val="FirstParagraph"/>
      </w:pPr>
      <w:r>
        <w:t xml:space="preserve">The usable sample runs from 4 January 2021 to 31 December 2025, yielding 43,736 hourly bars per asset after feature warm-up. This window contains multiple market phases, including the 2021 bull market, the 2022 drawdown, the 2023 recovery, the 2024 ETF-driven institutional surge, and the volatile conditions late in 2025. That breadth makes the sample more informative than a single-regime window, but it does</w:t>
      </w:r>
      <w:r>
        <w:t xml:space="preserve"> </w:t>
      </w:r>
      <w:r>
        <w:rPr>
          <w:b/>
          <w:bCs/>
        </w:rPr>
        <w:t xml:space="preserve">not</w:t>
      </w:r>
      <w:r>
        <w:t xml:space="preserve"> </w:t>
      </w:r>
      <w:r>
        <w:t xml:space="preserve">by itself establish regime-invariant robustness because the final evaluation still relies on one fixed chronological split.</w:t>
      </w:r>
    </w:p>
    <w:p>
      <w:pPr>
        <w:pStyle w:val="BodyText"/>
      </w:pPr>
      <w:r>
        <w:t xml:space="preserve">Hourly data were retained to remain aligned with the reference paper and to preserve an intraday decision horizon, while still being coarse enough to avoid the extreme noise and execution burden of sub-hourly strategies. Even so, hourly signals remain noisy and turnover-sensitive, which is important when interpreting the final results.</w:t>
      </w:r>
    </w:p>
    <w:bookmarkEnd w:id="136"/>
    <w:bookmarkStart w:id="137" w:name="data-construction"/>
    <w:p>
      <w:pPr>
        <w:pStyle w:val="Heading2"/>
      </w:pPr>
      <w:r>
        <w:rPr>
          <w:rStyle w:val="SectionNumber"/>
        </w:rPr>
        <w:t xml:space="preserve">3.3</w:t>
      </w:r>
      <w:r>
        <w:tab/>
      </w:r>
      <w:r>
        <w:t xml:space="preserve">Data Construction</w:t>
      </w:r>
    </w:p>
    <w:p>
      <w:pPr>
        <w:pStyle w:val="FirstParagraph"/>
      </w:pPr>
      <w:r>
        <w:t xml:space="preserve">We construct four feature sets.</w:t>
      </w:r>
      <w:r>
        <w:t xml:space="preserve"> </w:t>
      </w:r>
      <w:r>
        <w:rPr>
          <w:rStyle w:val="VerbatimChar"/>
        </w:rPr>
        <w:t xml:space="preserve">ohlc_raw</w:t>
      </w:r>
      <w:r>
        <w:t xml:space="preserve"> </w:t>
      </w:r>
      <w:r>
        <w:t xml:space="preserve">uses open, high, low, close, volume, trade count, and cyclical hour terms.</w:t>
      </w:r>
      <w:r>
        <w:t xml:space="preserve"> </w:t>
      </w:r>
      <w:r>
        <w:rPr>
          <w:rStyle w:val="VerbatimChar"/>
        </w:rPr>
        <w:t xml:space="preserve">candle_raw</w:t>
      </w:r>
      <w:r>
        <w:t xml:space="preserve"> </w:t>
      </w:r>
      <w:r>
        <w:t xml:space="preserve">replaces the raw OHLC block with candlestick body and shadow representations while retaining volume, trade count, and cyclical terms.</w:t>
      </w:r>
      <w:r>
        <w:t xml:space="preserve"> </w:t>
      </w:r>
      <w:r>
        <w:rPr>
          <w:rStyle w:val="VerbatimChar"/>
        </w:rPr>
        <w:t xml:space="preserve">ohlc_extended</w:t>
      </w:r>
      <w:r>
        <w:t xml:space="preserve"> </w:t>
      </w:r>
      <w:r>
        <w:t xml:space="preserve">and</w:t>
      </w:r>
      <w:r>
        <w:t xml:space="preserve"> </w:t>
      </w:r>
      <w:r>
        <w:rPr>
          <w:rStyle w:val="VerbatimChar"/>
        </w:rPr>
        <w:t xml:space="preserve">candle_extended</w:t>
      </w:r>
      <w:r>
        <w:t xml:space="preserve"> </w:t>
      </w:r>
      <w:r>
        <w:t xml:space="preserve">augment the corresponding raw sets with technical indicators including SMA, RSI, MACD line and histogram, Williams %R, stochastic oscillator, and MFI. All features are lagged so that only information available at or before the current hour is used when generating a trade for the next-hour open entry and the following-hour open exit.</w:t>
      </w:r>
    </w:p>
    <w:bookmarkEnd w:id="137"/>
    <w:bookmarkStart w:id="138" w:name="train-validation-test-split"/>
    <w:p>
      <w:pPr>
        <w:pStyle w:val="Heading2"/>
      </w:pPr>
      <w:r>
        <w:rPr>
          <w:rStyle w:val="SectionNumber"/>
        </w:rPr>
        <w:t xml:space="preserve">3.4</w:t>
      </w:r>
      <w:r>
        <w:tab/>
      </w:r>
      <w:r>
        <w:t xml:space="preserve">Train / Validation / Test Split</w:t>
      </w:r>
    </w:p>
    <w:p>
      <w:pPr>
        <w:pStyle w:val="FirstParagraph"/>
      </w:pPr>
      <w:r>
        <w:t xml:space="preserve">Each asset is divided chronologically into 50% training, 25% validation, and 25% testing. The shared date boundaries are:</w:t>
      </w:r>
    </w:p>
    <w:p>
      <w:pPr>
        <w:pStyle w:val="Compact"/>
        <w:numPr>
          <w:ilvl w:val="0"/>
          <w:numId w:val="1001"/>
        </w:numPr>
      </w:pPr>
      <w:r>
        <w:t xml:space="preserve">train: 4 January 2021 00:00 UTC to 4 July 2023 17:00 UTC</w:t>
      </w:r>
    </w:p>
    <w:p>
      <w:pPr>
        <w:pStyle w:val="Compact"/>
        <w:numPr>
          <w:ilvl w:val="0"/>
          <w:numId w:val="1001"/>
        </w:numPr>
      </w:pPr>
      <w:r>
        <w:t xml:space="preserve">validation: 4 July 2023 18:00 UTC to 2 October 2024 07:00 UTC</w:t>
      </w:r>
    </w:p>
    <w:p>
      <w:pPr>
        <w:pStyle w:val="Compact"/>
        <w:numPr>
          <w:ilvl w:val="0"/>
          <w:numId w:val="1001"/>
        </w:numPr>
      </w:pPr>
      <w:r>
        <w:t xml:space="preserve">test: 2 October 2024 08:00 UTC to 31 December 2025 21:00 UTC</w:t>
      </w:r>
    </w:p>
    <w:p>
      <w:pPr>
        <w:pStyle w:val="FirstParagraph"/>
      </w:pPr>
      <w:r>
        <w:t xml:space="preserve">This design avoids look-ahead bias and provides a clean held-out test window under one common protocol. However, it is still a</w:t>
      </w:r>
      <w:r>
        <w:t xml:space="preserve"> </w:t>
      </w:r>
      <w:r>
        <w:rPr>
          <w:b/>
          <w:bCs/>
        </w:rPr>
        <w:t xml:space="preserve">single realised historical partition</w:t>
      </w:r>
      <w:r>
        <w:t xml:space="preserve">. The resulting evidence should therefore be interpreted as out-of-sample performance for this fixed split, not as proof that the same model rankings will persist under rolling or walk-forward re-estimation across different market regimes.</w:t>
      </w:r>
    </w:p>
    <w:bookmarkEnd w:id="138"/>
    <w:bookmarkEnd w:id="139"/>
    <w:bookmarkStart w:id="147" w:name="methodology"/>
    <w:p>
      <w:pPr>
        <w:pStyle w:val="Heading1"/>
      </w:pPr>
      <w:r>
        <w:rPr>
          <w:rStyle w:val="SectionNumber"/>
        </w:rPr>
        <w:t xml:space="preserve">4</w:t>
      </w:r>
      <w:r>
        <w:tab/>
      </w:r>
      <w:r>
        <w:t xml:space="preserve">Methodology</w:t>
      </w:r>
    </w:p>
    <w:bookmarkStart w:id="140" w:name="prediction-labelling"/>
    <w:p>
      <w:pPr>
        <w:pStyle w:val="Heading2"/>
      </w:pPr>
      <w:r>
        <w:rPr>
          <w:rStyle w:val="SectionNumber"/>
        </w:rPr>
        <w:t xml:space="preserve">4.1</w:t>
      </w:r>
      <w:r>
        <w:tab/>
      </w:r>
      <w:r>
        <w:t xml:space="preserve">Prediction Labelling</w:t>
      </w:r>
    </w:p>
    <w:p>
      <w:pPr>
        <w:pStyle w:val="FirstParagraph"/>
      </w:pPr>
      <w:r>
        <w:t xml:space="preserve">The predictive task is framed as two binary classification problems built on the next-hour open-to-open log return. The strategy observes the current feature vector, enters at the next hour’s open if a threshold is triggered, and exits one hour later at the following open. We define:</w:t>
      </w:r>
    </w:p>
    <w:p>
      <w:pPr>
        <w:pStyle w:val="Compact"/>
        <w:numPr>
          <w:ilvl w:val="0"/>
          <w:numId w:val="1002"/>
        </w:numPr>
      </w:pPr>
      <w:r>
        <w:rPr>
          <w:rStyle w:val="VerbatimChar"/>
        </w:rPr>
        <w:t xml:space="preserve">label_up = 1</w:t>
      </w:r>
      <w:r>
        <w:t xml:space="preserve"> </w:t>
      </w:r>
      <w:r>
        <w:t xml:space="preserve">when the next-hour open-to-open log return is positive,</w:t>
      </w:r>
    </w:p>
    <w:p>
      <w:pPr>
        <w:pStyle w:val="Compact"/>
        <w:numPr>
          <w:ilvl w:val="0"/>
          <w:numId w:val="1002"/>
        </w:numPr>
      </w:pPr>
      <w:r>
        <w:rPr>
          <w:rStyle w:val="VerbatimChar"/>
        </w:rPr>
        <w:t xml:space="preserve">label_down = 1</w:t>
      </w:r>
      <w:r>
        <w:t xml:space="preserve"> </w:t>
      </w:r>
      <w:r>
        <w:t xml:space="preserve">when the next-hour open-to-open log return is negative.</w:t>
      </w:r>
    </w:p>
    <w:p>
      <w:pPr>
        <w:pStyle w:val="FirstParagraph"/>
      </w:pPr>
      <w:r>
        <w:t xml:space="preserve">This dual-labelling design allows long-only, short-only, and long-short trading structures to be implemented consistently across both machine-learning and rule-based strategies.</w:t>
      </w:r>
    </w:p>
    <w:bookmarkEnd w:id="140"/>
    <w:bookmarkStart w:id="144" w:name="strategy-families"/>
    <w:p>
      <w:pPr>
        <w:pStyle w:val="Heading2"/>
      </w:pPr>
      <w:r>
        <w:rPr>
          <w:rStyle w:val="SectionNumber"/>
        </w:rPr>
        <w:t xml:space="preserve">4.2</w:t>
      </w:r>
      <w:r>
        <w:tab/>
      </w:r>
      <w:r>
        <w:t xml:space="preserve">Strategy Families</w:t>
      </w:r>
    </w:p>
    <w:bookmarkStart w:id="141" w:name="buy-and-hold-benchmark"/>
    <w:p>
      <w:pPr>
        <w:pStyle w:val="Heading3"/>
      </w:pPr>
      <w:r>
        <w:rPr>
          <w:rStyle w:val="SectionNumber"/>
        </w:rPr>
        <w:t xml:space="preserve">4.2.1</w:t>
      </w:r>
      <w:r>
        <w:tab/>
      </w:r>
      <w:r>
        <w:t xml:space="preserve">Buy-and-Hold Benchmark</w:t>
      </w:r>
    </w:p>
    <w:p>
      <w:pPr>
        <w:pStyle w:val="FirstParagraph"/>
      </w:pPr>
      <w:r>
        <w:t xml:space="preserve">Buy-and-hold maintains a constant long position over the full test period and serves as the passive benchmark. In the with-cost setting, the benchmark incurs the one-time initial entry cost implied by moving from zero exposure to a fully invested long position.</w:t>
      </w:r>
    </w:p>
    <w:bookmarkEnd w:id="141"/>
    <w:bookmarkStart w:id="142" w:name="rule-based-technical-heuristics"/>
    <w:p>
      <w:pPr>
        <w:pStyle w:val="Heading3"/>
      </w:pPr>
      <w:r>
        <w:rPr>
          <w:rStyle w:val="SectionNumber"/>
        </w:rPr>
        <w:t xml:space="preserve">4.2.2</w:t>
      </w:r>
      <w:r>
        <w:tab/>
      </w:r>
      <w:r>
        <w:t xml:space="preserve">Rule-Based Technical Heuristics</w:t>
      </w:r>
    </w:p>
    <w:p>
      <w:pPr>
        <w:pStyle w:val="FirstParagraph"/>
      </w:pPr>
      <w:r>
        <w:t xml:space="preserve">SMA and RSI serve as rule-based benchmarks. For SMA, short windows of 5, 10, 20, and 30 hours are paired with long windows of 50, 100, 150, and 200 hours. For RSI, windows of 7, 14, and 21 hours are tested. Each rule produces a continuous score, which is then mapped through the same validation and thresholding pipeline used for the machine-learning strategies. The long-only, short-only, and long-short structures therefore apply to SMA and RSI as well, rather than only to the ML models.</w:t>
      </w:r>
    </w:p>
    <w:bookmarkEnd w:id="142"/>
    <w:bookmarkStart w:id="143" w:name="machine-learning-models"/>
    <w:p>
      <w:pPr>
        <w:pStyle w:val="Heading3"/>
      </w:pPr>
      <w:r>
        <w:rPr>
          <w:rStyle w:val="SectionNumber"/>
        </w:rPr>
        <w:t xml:space="preserve">4.2.3</w:t>
      </w:r>
      <w:r>
        <w:tab/>
      </w:r>
      <w:r>
        <w:t xml:space="preserve">Machine-Learning Models</w:t>
      </w:r>
    </w:p>
    <w:p>
      <w:pPr>
        <w:pStyle w:val="FirstParagraph"/>
      </w:pPr>
      <w:r>
        <w:t xml:space="preserve">Four machine-learning models are evaluated. Logistic Regression provides a linear probability baseline. XGBoost and LightGBM represent tree-based ensembles that capture non-linear feature interactions. GRU is the sequential model, using a 24-hour lookback window to learn temporal dependencies in the input features. The GRU architecture used in the notebook is a compact recurrent model with a 16-unit GRU layer followed by a dense layer, dropout, and a sigmoid output.</w:t>
      </w:r>
    </w:p>
    <w:bookmarkEnd w:id="143"/>
    <w:bookmarkEnd w:id="144"/>
    <w:bookmarkStart w:id="145" w:name="backtesting-framework"/>
    <w:p>
      <w:pPr>
        <w:pStyle w:val="Heading2"/>
      </w:pPr>
      <w:r>
        <w:rPr>
          <w:rStyle w:val="SectionNumber"/>
        </w:rPr>
        <w:t xml:space="preserve">4.3</w:t>
      </w:r>
      <w:r>
        <w:tab/>
      </w:r>
      <w:r>
        <w:t xml:space="preserve">Backtesting Framework</w:t>
      </w:r>
    </w:p>
    <w:p>
      <w:pPr>
        <w:pStyle w:val="FirstParagraph"/>
      </w:pPr>
      <w:r>
        <w:t xml:space="preserve">Backtests are executed under both</w:t>
      </w:r>
      <w:r>
        <w:t xml:space="preserve"> </w:t>
      </w:r>
      <w:r>
        <w:rPr>
          <w:rStyle w:val="VerbatimChar"/>
        </w:rPr>
        <w:t xml:space="preserve">no_cost</w:t>
      </w:r>
      <w:r>
        <w:t xml:space="preserve"> </w:t>
      </w:r>
      <w:r>
        <w:t xml:space="preserve">and</w:t>
      </w:r>
      <w:r>
        <w:t xml:space="preserve"> </w:t>
      </w:r>
      <w:r>
        <w:rPr>
          <w:rStyle w:val="VerbatimChar"/>
        </w:rPr>
        <w:t xml:space="preserve">with_cost</w:t>
      </w:r>
      <w:r>
        <w:t xml:space="preserve"> </w:t>
      </w:r>
      <w:r>
        <w:t xml:space="preserve">regimes. The with-cost setting applies a transaction cost of 0.035% per unit position change. Opening or closing a unit position therefore costs 0.035%, while directly flipping from long to short costs 0.07%. This design penalizes high-turnover strategies and makes it possible to separate raw predictive opportunity from economic viability after friction.</w:t>
      </w:r>
    </w:p>
    <w:bookmarkEnd w:id="145"/>
    <w:bookmarkStart w:id="146" w:name="evaluation-metrics-and-feasibility-rules"/>
    <w:p>
      <w:pPr>
        <w:pStyle w:val="Heading2"/>
      </w:pPr>
      <w:r>
        <w:rPr>
          <w:rStyle w:val="SectionNumber"/>
        </w:rPr>
        <w:t xml:space="preserve">4.4</w:t>
      </w:r>
      <w:r>
        <w:tab/>
      </w:r>
      <w:r>
        <w:t xml:space="preserve">Evaluation Metrics and Feasibility Rules</w:t>
      </w:r>
    </w:p>
    <w:p>
      <w:pPr>
        <w:pStyle w:val="FirstParagraph"/>
      </w:pPr>
      <w:r>
        <w:t xml:space="preserve">Two Sharpe-style measures are used for different purposes:</w:t>
      </w:r>
    </w:p>
    <w:p>
      <w:pPr>
        <w:pStyle w:val="Compact"/>
        <w:numPr>
          <w:ilvl w:val="0"/>
          <w:numId w:val="1003"/>
        </w:numPr>
      </w:pPr>
      <w:r>
        <w:rPr>
          <w:b/>
          <w:bCs/>
        </w:rPr>
        <w:t xml:space="preserve">Paper-style Sharpe (main benchmark):</w:t>
      </w:r>
      <w:r>
        <w:t xml:space="preserve"> </w:t>
      </w:r>
      <w:r>
        <w:t xml:space="preserve">the mean signal return divided by the standard deviation of signal returns, where signal returns are net returns on active trading hours only. This is the primary metric in the summary tables because it focuses directly on the distribution of realised signal returns.</w:t>
      </w:r>
    </w:p>
    <w:p>
      <w:pPr>
        <w:pStyle w:val="Compact"/>
        <w:numPr>
          <w:ilvl w:val="0"/>
          <w:numId w:val="1003"/>
        </w:numPr>
      </w:pPr>
      <w:r>
        <w:rPr>
          <w:b/>
          <w:bCs/>
        </w:rPr>
        <w:t xml:space="preserve">Annualized Sharpe (diagnostic):</w:t>
      </w:r>
      <w:r>
        <w:t xml:space="preserve"> </w:t>
      </w:r>
      <w:r>
        <w:t xml:space="preserve">the mean hourly excess return divided by the standard deviation of hourly excess returns, multiplied by the square root of 8,760. This is reported as an additional diagnostic rather than the headline metric.</w:t>
      </w:r>
    </w:p>
    <w:p>
      <w:pPr>
        <w:pStyle w:val="FirstParagraph"/>
      </w:pPr>
      <w:r>
        <w:t xml:space="preserve">Thresholds are selected on the validation set using a</w:t>
      </w:r>
      <w:r>
        <w:t xml:space="preserve"> </w:t>
      </w:r>
      <w:r>
        <w:rPr>
          <w:b/>
          <w:bCs/>
        </w:rPr>
        <w:t xml:space="preserve">precision-first</w:t>
      </w:r>
      <w:r>
        <w:t xml:space="preserve"> </w:t>
      </w:r>
      <w:r>
        <w:t xml:space="preserve">rule subject to feasibility constraints. Specifically, a candidate threshold must generate at least 20 trades, a signal ratio of at least 0.2%, and recall of at least 1% before it is considered feasible. Among feasible thresholds, precision is prioritized, with recall and validation Sharpe used only as secondary tie-breakers. This is a deliberate high-confidence signal-selection design: the goal is first to filter noisy trades, then to judge the resulting strategy economically out of sample.</w:t>
      </w:r>
    </w:p>
    <w:bookmarkEnd w:id="146"/>
    <w:bookmarkEnd w:id="147"/>
    <w:bookmarkStart w:id="160" w:name="results-and-discussion"/>
    <w:p>
      <w:pPr>
        <w:pStyle w:val="Heading1"/>
      </w:pPr>
      <w:r>
        <w:rPr>
          <w:rStyle w:val="SectionNumber"/>
        </w:rPr>
        <w:t xml:space="preserve">5</w:t>
      </w:r>
      <w:r>
        <w:tab/>
      </w:r>
      <w:r>
        <w:t xml:space="preserve">Results and Discussion</w:t>
      </w:r>
    </w:p>
    <w:bookmarkStart w:id="148" w:name="overall-performance-comparison"/>
    <w:p>
      <w:pPr>
        <w:pStyle w:val="Heading2"/>
      </w:pPr>
      <w:r>
        <w:rPr>
          <w:rStyle w:val="SectionNumber"/>
        </w:rPr>
        <w:t xml:space="preserve">5.1</w:t>
      </w:r>
      <w:r>
        <w:tab/>
      </w:r>
      <w:r>
        <w:t xml:space="preserve">Overall Performance Comparison</w:t>
      </w:r>
    </w:p>
    <w:p>
      <w:pPr>
        <w:pStyle w:val="FirstParagraph"/>
      </w:pPr>
      <w:r>
        <w:t xml:space="preserve">Table 1 reports average feasible test outcomes across strategy modes.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Strategy Mode</w:t>
            </w:r>
          </w:p>
        </w:tc>
        <w:tc>
          <w:tcPr/>
          <w:p>
            <w:pPr>
              <w:pStyle w:val="Compact"/>
              <w:jc w:val="right"/>
            </w:pPr>
            <w:r>
              <w:t xml:space="preserve">Avg. Test Sharpe (No Cost)</w:t>
            </w:r>
          </w:p>
        </w:tc>
        <w:tc>
          <w:tcPr/>
          <w:p>
            <w:pPr>
              <w:pStyle w:val="Compact"/>
              <w:jc w:val="right"/>
            </w:pPr>
            <w:r>
              <w:t xml:space="preserve">Avg. Test Sharpe (With Cost)</w:t>
            </w:r>
          </w:p>
        </w:tc>
        <w:tc>
          <w:tcPr/>
          <w:p>
            <w:pPr>
              <w:pStyle w:val="Compact"/>
              <w:jc w:val="right"/>
            </w:pPr>
            <w:r>
              <w:t xml:space="preserve">Avg. Cumulative Return (No Cost)</w:t>
            </w:r>
          </w:p>
        </w:tc>
        <w:tc>
          <w:tcPr/>
          <w:p>
            <w:pPr>
              <w:pStyle w:val="Compact"/>
              <w:jc w:val="right"/>
            </w:pPr>
            <w:r>
              <w:t xml:space="preserve">Avg. Cumulative Return (With Cost)</w:t>
            </w:r>
          </w:p>
        </w:tc>
        <w:tc>
          <w:tcPr/>
          <w:p>
            <w:pPr>
              <w:pStyle w:val="Compact"/>
              <w:jc w:val="right"/>
            </w:pPr>
            <w:r>
              <w:t xml:space="preserve">Avg. Number of Trades</w:t>
            </w:r>
          </w:p>
        </w:tc>
      </w:tr>
      <w:tr>
        <w:tc>
          <w:tcPr/>
          <w:p>
            <w:pPr>
              <w:pStyle w:val="Compact"/>
            </w:pPr>
            <w:r>
              <w:t xml:space="preserve">Long-only</w:t>
            </w:r>
          </w:p>
        </w:tc>
        <w:tc>
          <w:tcPr/>
          <w:p>
            <w:pPr>
              <w:pStyle w:val="Compact"/>
              <w:jc w:val="right"/>
            </w:pPr>
            <w:r>
              <w:t xml:space="preserve">0.0612</w:t>
            </w:r>
          </w:p>
        </w:tc>
        <w:tc>
          <w:tcPr/>
          <w:p>
            <w:pPr>
              <w:pStyle w:val="Compact"/>
              <w:jc w:val="right"/>
            </w:pPr>
            <w:r>
              <w:t xml:space="preserve">0.0340</w:t>
            </w:r>
          </w:p>
        </w:tc>
        <w:tc>
          <w:tcPr/>
          <w:p>
            <w:pPr>
              <w:pStyle w:val="Compact"/>
              <w:jc w:val="right"/>
            </w:pPr>
            <w:r>
              <w:t xml:space="preserve">0.3195</w:t>
            </w:r>
          </w:p>
        </w:tc>
        <w:tc>
          <w:tcPr/>
          <w:p>
            <w:pPr>
              <w:pStyle w:val="Compact"/>
              <w:jc w:val="right"/>
            </w:pPr>
            <w:r>
              <w:t xml:space="preserve">-0.0536</w:t>
            </w:r>
          </w:p>
        </w:tc>
        <w:tc>
          <w:tcPr/>
          <w:p>
            <w:pPr>
              <w:pStyle w:val="Compact"/>
              <w:jc w:val="right"/>
            </w:pPr>
            <w:r>
              <w:t xml:space="preserve">1085</w:t>
            </w:r>
          </w:p>
        </w:tc>
      </w:tr>
      <w:tr>
        <w:tc>
          <w:tcPr/>
          <w:p>
            <w:pPr>
              <w:pStyle w:val="Compact"/>
            </w:pPr>
            <w:r>
              <w:t xml:space="preserve">Long-short</w:t>
            </w:r>
          </w:p>
        </w:tc>
        <w:tc>
          <w:tcPr/>
          <w:p>
            <w:pPr>
              <w:pStyle w:val="Compact"/>
              <w:jc w:val="right"/>
            </w:pPr>
            <w:r>
              <w:t xml:space="preserve">0.0158</w:t>
            </w:r>
          </w:p>
        </w:tc>
        <w:tc>
          <w:tcPr/>
          <w:p>
            <w:pPr>
              <w:pStyle w:val="Compact"/>
              <w:jc w:val="right"/>
            </w:pPr>
            <w:r>
              <w:t xml:space="preserve">-0.0106</w:t>
            </w:r>
          </w:p>
        </w:tc>
        <w:tc>
          <w:tcPr/>
          <w:p>
            <w:pPr>
              <w:pStyle w:val="Compact"/>
              <w:jc w:val="right"/>
            </w:pPr>
            <w:r>
              <w:t xml:space="preserve">0.1535</w:t>
            </w:r>
          </w:p>
        </w:tc>
        <w:tc>
          <w:tcPr/>
          <w:p>
            <w:pPr>
              <w:pStyle w:val="Compact"/>
              <w:jc w:val="right"/>
            </w:pPr>
            <w:r>
              <w:t xml:space="preserve">-0.4567</w:t>
            </w:r>
          </w:p>
        </w:tc>
        <w:tc>
          <w:tcPr/>
          <w:p>
            <w:pPr>
              <w:pStyle w:val="Compact"/>
              <w:jc w:val="right"/>
            </w:pPr>
            <w:r>
              <w:t xml:space="preserve">2434</w:t>
            </w:r>
          </w:p>
        </w:tc>
      </w:tr>
      <w:tr>
        <w:tc>
          <w:tcPr/>
          <w:p>
            <w:pPr>
              <w:pStyle w:val="Compact"/>
            </w:pPr>
            <w:r>
              <w:t xml:space="preserve">Short-only</w:t>
            </w:r>
          </w:p>
        </w:tc>
        <w:tc>
          <w:tcPr/>
          <w:p>
            <w:pPr>
              <w:pStyle w:val="Compact"/>
              <w:jc w:val="right"/>
            </w:pPr>
            <w:r>
              <w:t xml:space="preserve">-0.0014</w:t>
            </w:r>
          </w:p>
        </w:tc>
        <w:tc>
          <w:tcPr/>
          <w:p>
            <w:pPr>
              <w:pStyle w:val="Compact"/>
              <w:jc w:val="right"/>
            </w:pPr>
            <w:r>
              <w:t xml:space="preserve">-0.0293</w:t>
            </w:r>
          </w:p>
        </w:tc>
        <w:tc>
          <w:tcPr/>
          <w:p>
            <w:pPr>
              <w:pStyle w:val="Compact"/>
              <w:jc w:val="right"/>
            </w:pPr>
            <w:r>
              <w:t xml:space="preserve">0.0065</w:t>
            </w:r>
          </w:p>
        </w:tc>
        <w:tc>
          <w:tcPr/>
          <w:p>
            <w:pPr>
              <w:pStyle w:val="Compact"/>
              <w:jc w:val="right"/>
            </w:pPr>
            <w:r>
              <w:t xml:space="preserve">-0.4193</w:t>
            </w:r>
          </w:p>
        </w:tc>
        <w:tc>
          <w:tcPr/>
          <w:p>
            <w:pPr>
              <w:pStyle w:val="Compact"/>
              <w:jc w:val="right"/>
            </w:pPr>
            <w:r>
              <w:t xml:space="preserve">1700</w:t>
            </w:r>
          </w:p>
        </w:tc>
      </w:tr>
    </w:tbl>
    <w:p>
      <w:pPr>
        <w:pStyle w:val="BodyText"/>
      </w:pPr>
      <w:r>
        <w:t xml:space="preserve">The headline result is clear:</w:t>
      </w:r>
      <w:r>
        <w:t xml:space="preserve"> </w:t>
      </w:r>
      <w:r>
        <w:rPr>
          <w:b/>
          <w:bCs/>
        </w:rPr>
        <w:t xml:space="preserve">long-only is the strongest active structure in the current experiment, but even long-only becomes far less attractive once fees are included.</w:t>
      </w:r>
      <w:r>
        <w:t xml:space="preserve"> </w:t>
      </w:r>
      <w:r>
        <w:t xml:space="preserve">Long-short and short-only strategies deteriorate sharply under costs because their higher turnover compounds the fee burden. This directly answers the research question: machine learning does not deliver a broad, cost-robust victory over simpler strategies in this setting.</w:t>
      </w:r>
    </w:p>
    <w:p>
      <w:pPr>
        <w:pStyle w:val="BodyText"/>
      </w:pPr>
      <w:r>
        <w:t xml:space="preserve">Buy-and-hold also remains a difficult benchmark. On the test set, the benchmark annualized Sharpe ratios are 0.82 for BTC, 0.53 for ETH, 1.40 for XRP, and 0.25 for SOL. Some active configurations produce positive absolute performance, especially in ETH and SOL, but there is little evidence that active trading consistently dominates passive exposure across assets once the full set of frictions is imposed.</w:t>
      </w:r>
    </w:p>
    <w:bookmarkEnd w:id="148"/>
    <w:bookmarkStart w:id="149" w:name="impact-of-transaction-costs"/>
    <w:p>
      <w:pPr>
        <w:pStyle w:val="Heading2"/>
      </w:pPr>
      <w:r>
        <w:rPr>
          <w:rStyle w:val="SectionNumber"/>
        </w:rPr>
        <w:t xml:space="preserve">5.2</w:t>
      </w:r>
      <w:r>
        <w:tab/>
      </w:r>
      <w:r>
        <w:t xml:space="preserve">Impact of Transaction Costs</w:t>
      </w:r>
    </w:p>
    <w:p>
      <w:pPr>
        <w:pStyle w:val="FirstParagraph"/>
      </w:pPr>
      <w:r>
        <w:t xml:space="preserve">The no-cost versus with-cost comparison shows that transaction costs are not a secondary detail; they are central to the ranking of strategies. Averaging across feasible configurations, long-only cumulative return falls from 0.3195 to -0.0536 when costs are introduced. The effect is more severe for long-short and short-only designs because their average trade counts are much larger. Long-short strategies average roughly 2,434 trades, compared with 1,085 for long-only.</w:t>
      </w:r>
    </w:p>
    <w:p>
      <w:pPr>
        <w:pStyle w:val="BodyText"/>
      </w:pPr>
      <w:r>
        <w:t xml:space="preserve">This pattern also explains why models that look moderately attractive in gross terms often fail to survive in net terms. More complex strategies can generate more signals, but signal volume is not automatically a virtue when each position change incurs a cost.</w:t>
      </w:r>
    </w:p>
    <w:bookmarkEnd w:id="149"/>
    <w:bookmarkStart w:id="150" w:name="model-level-comparison"/>
    <w:p>
      <w:pPr>
        <w:pStyle w:val="Heading2"/>
      </w:pPr>
      <w:r>
        <w:rPr>
          <w:rStyle w:val="SectionNumber"/>
        </w:rPr>
        <w:t xml:space="preserve">5.3</w:t>
      </w:r>
      <w:r>
        <w:tab/>
      </w:r>
      <w:r>
        <w:t xml:space="preserve">Model-Level Comparison</w:t>
      </w:r>
    </w:p>
    <w:p>
      <w:pPr>
        <w:pStyle w:val="FirstParagraph"/>
      </w:pPr>
      <w:r>
        <w:t xml:space="preserve">At the family level, ML strategies are somewhat stronger than the rule-based benchmarks in the frictionless setting: the average feasible test Sharpe is 0.0283 for ML models versus -0.0012 for rule-based strategies. After costs, however, the gap narrows materially, with ML averaging -0.0015 and rule-based strategies averaging -0.0068. This is a much weaker conclusion than “machine learning wins.” It is more accurate to say that machine-learning models occasionally improve on simple rules in selective cases, but the advantage is fragile and not reliably preserved after costs.</w:t>
      </w:r>
    </w:p>
    <w:p>
      <w:pPr>
        <w:pStyle w:val="BodyText"/>
      </w:pPr>
      <w:r>
        <w:t xml:space="preserve">Within the ML group, GRU sometimes achieves the strongest long-only outcomes, but its performance is not uniformly superior across assets or structures. Logistic Regression remains competitive despite its simplicity, and XGBoost is generally the weakest of the ML models in the submitted configuration. The broader lesson is that extra model complexity does not guarantee more robust out-of-sample trading performance.</w:t>
      </w:r>
    </w:p>
    <w:bookmarkEnd w:id="150"/>
    <w:bookmarkStart w:id="151" w:name="Xcdd612f04b4bd87e23d2b8393fb4fb90483e845"/>
    <w:p>
      <w:pPr>
        <w:pStyle w:val="Heading2"/>
      </w:pPr>
      <w:r>
        <w:rPr>
          <w:rStyle w:val="SectionNumber"/>
        </w:rPr>
        <w:t xml:space="preserve">5.4</w:t>
      </w:r>
      <w:r>
        <w:tab/>
      </w:r>
      <w:r>
        <w:t xml:space="preserve">Feature Representation and Strategy Behaviour</w:t>
      </w:r>
    </w:p>
    <w:p>
      <w:pPr>
        <w:pStyle w:val="FirstParagraph"/>
      </w:pPr>
      <w:r>
        <w:t xml:space="preserve">Extended feature sets can improve average Sharpe ratios relative to raw price representations, but the improvement is economically conditional. The additional technical indicators help extract directional structure in some settings, yet they also tend to support more active signal generation, which increases turnover and cost exposure. The result is a common pattern in this project: predictive improvements do not automatically translate into stronger net performance.</w:t>
      </w:r>
    </w:p>
    <w:p>
      <w:pPr>
        <w:pStyle w:val="BodyText"/>
      </w:pPr>
      <w:r>
        <w:t xml:space="preserve">The behavior of short-only strategies deserves explicit discussion because the underperformance is consistent. In the with-cost setting, short-only strategies have a negative average Sharpe for every asset, ranging from -0.0258 in SOL to -0.0323 in XRP. Two mechanisms appear especially important. First, crypto markets over the sample retain enough upside drift that a pure short stance is structurally disadvantaged relative to long-only participation. Second, short-only strategies still trade frequently—about 1,700 trades on average—so even modest predictive errors are quickly magnified by repeated transaction costs. The issue is therefore not only directional accuracy; it is the combination of weaker underlying market drift and high turnover.</w:t>
      </w:r>
    </w:p>
    <w:bookmarkEnd w:id="151"/>
    <w:bookmarkStart w:id="152" w:name="statistical-significance"/>
    <w:p>
      <w:pPr>
        <w:pStyle w:val="Heading2"/>
      </w:pPr>
      <w:r>
        <w:rPr>
          <w:rStyle w:val="SectionNumber"/>
        </w:rPr>
        <w:t xml:space="preserve">5.5</w:t>
      </w:r>
      <w:r>
        <w:tab/>
      </w:r>
      <w:r>
        <w:t xml:space="preserve">Statistical Significance</w:t>
      </w:r>
    </w:p>
    <w:p>
      <w:pPr>
        <w:pStyle w:val="FirstParagraph"/>
      </w:pPr>
      <w:r>
        <w:t xml:space="preserve">The bootstrap tests further temper any strong performance claims. Most pairwise differences are small, unstable, or statistically insignificant. In many cases, the null that mean returns are zero cannot be rejected, and the active strategies do not significantly outperform buy-and-hold. This is important for interpretation: even where some configurations show positive Sharpe ratios or cumulative returns, the evidence of persistent alpha remains limited.</w:t>
      </w:r>
    </w:p>
    <w:bookmarkEnd w:id="152"/>
    <w:bookmarkStart w:id="159" w:name="equity-curve-analysis"/>
    <w:p>
      <w:pPr>
        <w:pStyle w:val="Heading2"/>
      </w:pPr>
      <w:r>
        <w:rPr>
          <w:rStyle w:val="SectionNumber"/>
        </w:rPr>
        <w:t xml:space="preserve">5.6</w:t>
      </w:r>
      <w:r>
        <w:tab/>
      </w:r>
      <w:r>
        <w:t xml:space="preserve">Equity Curve Analysis</w:t>
      </w:r>
    </w:p>
    <w:p>
      <w:pPr>
        <w:pStyle w:val="FirstParagraph"/>
      </w:pPr>
      <w:r>
        <w:t xml:space="preserve">To avoid the unreadable multi-line figures highlighted in peer review, we focus on representative long-only with-cost plots that compare buy-and-hold with the best feasible configuration per model.</w:t>
      </w:r>
    </w:p>
    <w:p>
      <w:pPr>
        <w:pStyle w:val="CaptionedFigure"/>
      </w:pPr>
      <w:r>
        <w:drawing>
          <wp:inline>
            <wp:extent cx="4295775" cy="2505868"/>
            <wp:effectExtent b="0" l="0" r="0" t="0"/>
            <wp:docPr descr="BTC long-only with cost equity curves" title="" id="154" name="Picture"/>
            <a:graphic>
              <a:graphicData uri="http://schemas.openxmlformats.org/drawingml/2006/picture">
                <pic:pic>
                  <pic:nvPicPr>
                    <pic:cNvPr descr="result/graph/feasible/BTC/with_cost/long_only/equity_curves_best_feature_per_model_feasible.png" id="155" name="Picture"/>
                    <pic:cNvPicPr>
                      <a:picLocks noChangeArrowheads="1" noChangeAspect="1"/>
                    </pic:cNvPicPr>
                  </pic:nvPicPr>
                  <pic:blipFill>
                    <a:blip r:embed="rId153"/>
                    <a:stretch>
                      <a:fillRect/>
                    </a:stretch>
                  </pic:blipFill>
                  <pic:spPr bwMode="auto">
                    <a:xfrm>
                      <a:off x="0" y="0"/>
                      <a:ext cx="4295775" cy="2505868"/>
                    </a:xfrm>
                    <a:prstGeom prst="rect">
                      <a:avLst/>
                    </a:prstGeom>
                    <a:noFill/>
                    <a:ln w="9525">
                      <a:noFill/>
                      <a:headEnd/>
                      <a:tailEnd/>
                    </a:ln>
                  </pic:spPr>
                </pic:pic>
              </a:graphicData>
            </a:graphic>
          </wp:inline>
        </w:drawing>
      </w:r>
    </w:p>
    <w:p>
      <w:pPr>
        <w:pStyle w:val="ImageCaption"/>
      </w:pPr>
      <w:r>
        <w:t xml:space="preserve">BTC long-only with cost equity curves</w:t>
      </w:r>
    </w:p>
    <w:p>
      <w:pPr>
        <w:pStyle w:val="BodyText"/>
      </w:pPr>
      <w:r>
        <w:rPr>
          <w:b/>
          <w:bCs/>
        </w:rPr>
        <w:t xml:space="preserve">Figure 1.</w:t>
      </w:r>
      <w:r>
        <w:t xml:space="preserve"> </w:t>
      </w:r>
      <w:r>
        <w:t xml:space="preserve">BTC long-only equity curves under transaction costs.</w:t>
      </w:r>
    </w:p>
    <w:p>
      <w:pPr>
        <w:pStyle w:val="CaptionedFigure"/>
      </w:pPr>
      <w:r>
        <w:drawing>
          <wp:inline>
            <wp:extent cx="4295775" cy="2505868"/>
            <wp:effectExtent b="0" l="0" r="0" t="0"/>
            <wp:docPr descr="ETH long-only with cost equity curves" title="" id="157" name="Picture"/>
            <a:graphic>
              <a:graphicData uri="http://schemas.openxmlformats.org/drawingml/2006/picture">
                <pic:pic>
                  <pic:nvPicPr>
                    <pic:cNvPr descr="result/graph/feasible/ETH/with_cost/long_only/equity_curves_best_feature_per_model_feasible.png" id="158" name="Picture"/>
                    <pic:cNvPicPr>
                      <a:picLocks noChangeArrowheads="1" noChangeAspect="1"/>
                    </pic:cNvPicPr>
                  </pic:nvPicPr>
                  <pic:blipFill>
                    <a:blip r:embed="rId156"/>
                    <a:stretch>
                      <a:fillRect/>
                    </a:stretch>
                  </pic:blipFill>
                  <pic:spPr bwMode="auto">
                    <a:xfrm>
                      <a:off x="0" y="0"/>
                      <a:ext cx="4295775" cy="2505868"/>
                    </a:xfrm>
                    <a:prstGeom prst="rect">
                      <a:avLst/>
                    </a:prstGeom>
                    <a:noFill/>
                    <a:ln w="9525">
                      <a:noFill/>
                      <a:headEnd/>
                      <a:tailEnd/>
                    </a:ln>
                  </pic:spPr>
                </pic:pic>
              </a:graphicData>
            </a:graphic>
          </wp:inline>
        </w:drawing>
      </w:r>
    </w:p>
    <w:p>
      <w:pPr>
        <w:pStyle w:val="ImageCaption"/>
      </w:pPr>
      <w:r>
        <w:t xml:space="preserve">ETH long-only with cost equity curves</w:t>
      </w:r>
    </w:p>
    <w:p>
      <w:pPr>
        <w:pStyle w:val="BodyText"/>
      </w:pPr>
      <w:r>
        <w:rPr>
          <w:b/>
          <w:bCs/>
        </w:rPr>
        <w:t xml:space="preserve">Figure 2.</w:t>
      </w:r>
      <w:r>
        <w:t xml:space="preserve"> </w:t>
      </w:r>
      <w:r>
        <w:t xml:space="preserve">ETH long-only equity curves under transaction costs.</w:t>
      </w:r>
    </w:p>
    <w:p>
      <w:pPr>
        <w:pStyle w:val="BodyText"/>
      </w:pPr>
      <w:r>
        <w:t xml:space="preserve">The representative plots reinforce the earlier summary. In BTC, buy-and-hold preserves a comparatively strong upward trajectory while most active strategies remain flatter and struggle to overcome costs. ETH provides a more favorable environment for selected active models, but the gains are still uneven and do not establish sustained dominance over the passive benchmark. These figures are more interpretable than the bundled plots because they isolate the configurations that matter most for the report’s main argument.</w:t>
      </w:r>
    </w:p>
    <w:bookmarkEnd w:id="159"/>
    <w:bookmarkEnd w:id="160"/>
    <w:bookmarkStart w:id="161" w:name="limitations"/>
    <w:p>
      <w:pPr>
        <w:pStyle w:val="Heading1"/>
      </w:pPr>
      <w:r>
        <w:rPr>
          <w:rStyle w:val="SectionNumber"/>
        </w:rPr>
        <w:t xml:space="preserve">6</w:t>
      </w:r>
      <w:r>
        <w:tab/>
      </w:r>
      <w:r>
        <w:t xml:space="preserve">Limitations</w:t>
      </w:r>
    </w:p>
    <w:p>
      <w:pPr>
        <w:pStyle w:val="FirstParagraph"/>
      </w:pPr>
      <w:r>
        <w:t xml:space="preserve">Several limitations materially qualify the findings. First, the study uses one fixed chronological train / validation / test split. Although the sample spans multiple market phases, the analysis does not establish whether the observed model rankings would persist under rolling or expanding walk-forward retraining. In a non-stationary market such as cryptocurrency, this is an important limitation.</w:t>
      </w:r>
    </w:p>
    <w:p>
      <w:pPr>
        <w:pStyle w:val="BodyText"/>
      </w:pPr>
      <w:r>
        <w:t xml:space="preserve">Second, the predictive target is binary directional classification rather than return regression. This means that a correct prediction on a very small move is treated the same as a correct prediction on a much larger economically important move. The thresholding rules partially mitigate this by filtering for higher-confidence signals, but they do not eliminate the mismatch between directional classification and return magnitude.</w:t>
      </w:r>
    </w:p>
    <w:p>
      <w:pPr>
        <w:pStyle w:val="BodyText"/>
      </w:pPr>
      <w:r>
        <w:t xml:space="preserve">Third, the backtest remains stylized. It applies exchange-style transaction fees, but it does not model slippage, execution delay, order-book depth, market impact, borrowing costs for shorting, margin requirements, or liquidation dynamics. As a result, the reported outcomes should be interpreted as conservative relative to a frictionless backtest, but still simpler than a live-trading environment.</w:t>
      </w:r>
    </w:p>
    <w:p>
      <w:pPr>
        <w:pStyle w:val="BodyText"/>
      </w:pPr>
      <w:r>
        <w:t xml:space="preserve">Fourth, the study operates at hourly frequency. This preserves an intraday research design and aligns with the reference paper, but it also increases exposure to noise and to turnover-driven cost drag. Lower-frequency strategies may behave differently.</w:t>
      </w:r>
    </w:p>
    <w:p>
      <w:pPr>
        <w:pStyle w:val="BodyText"/>
      </w:pPr>
      <w:r>
        <w:t xml:space="preserve">Finally, the submitted version does not include a dedicated explainability analysis or formal feature-selection stage. The engineered features are intentionally paper-aligned, but the project does not yet isolate which indicators contribute most to predictive performance, nor does it test dimensionality-reduction alternatives systematically. These are reasonable extensions for future work.</w:t>
      </w:r>
    </w:p>
    <w:bookmarkEnd w:id="161"/>
    <w:bookmarkStart w:id="162" w:name="conclusion"/>
    <w:p>
      <w:pPr>
        <w:pStyle w:val="Heading1"/>
      </w:pPr>
      <w:r>
        <w:rPr>
          <w:rStyle w:val="SectionNumber"/>
        </w:rPr>
        <w:t xml:space="preserve">7</w:t>
      </w:r>
      <w:r>
        <w:tab/>
      </w:r>
      <w:r>
        <w:t xml:space="preserve">Conclusion</w:t>
      </w:r>
    </w:p>
    <w:p>
      <w:pPr>
        <w:pStyle w:val="FirstParagraph"/>
      </w:pPr>
      <w:r>
        <w:t xml:space="preserve">This study asks whether machine-learning trading strategies outperform rule-based technical strategies and passive buy-and-hold benchmarks in a cost-aware cryptocurrency backtest.</w:t>
      </w:r>
      <w:r>
        <w:t xml:space="preserve"> </w:t>
      </w:r>
      <w:r>
        <w:rPr>
          <w:b/>
          <w:bCs/>
        </w:rPr>
        <w:t xml:space="preserve">Within the submitted evaluation design, the answer is no in any broad or robust sense.</w:t>
      </w:r>
      <w:r>
        <w:t xml:space="preserve"> </w:t>
      </w:r>
      <w:r>
        <w:t xml:space="preserve">Machine-learning models can improve on simple rule-based strategies in selected settings, especially before costs, but they do not consistently or statistically reliably outperform buy-and-hold once transaction costs are applied.</w:t>
      </w:r>
    </w:p>
    <w:p>
      <w:pPr>
        <w:pStyle w:val="BodyText"/>
      </w:pPr>
      <w:r>
        <w:t xml:space="preserve">The strongest active results come from long-only strategies. Short-only and long-short structures are generally too turnover-heavy and fee-sensitive to remain attractive in the current framework. Extended feature sets can improve raw predictive performance, yet their economic gains are often diluted by higher trading activity. GRU sometimes leads the ML group, but the overall evidence does not support the view that more complex models automatically produce better tradable outcomes.</w:t>
      </w:r>
    </w:p>
    <w:p>
      <w:pPr>
        <w:pStyle w:val="BodyText"/>
      </w:pPr>
      <w:r>
        <w:t xml:space="preserve">The main contribution of the project is therefore comparative and cautionary rather than celebratory. Under one fixed chronological split and a realistic fee model, the practical value of active cryptocurrency trading remains limited, and the margin between machine learning and simpler alternatives is much narrower than headline predictive results might suggest. Future work should test the same families under walk-forward re-estimation, richer backtest frictions, and broader explainability analysis to determine whether any observed advantage survives under stronger robustness checks.</w:t>
      </w:r>
    </w:p>
    <w:bookmarkEnd w:id="162"/>
    <w:sectPr>
      <w:headerReference r:id="rId10" w:type="default"/>
      <w:footerReference r:id="rId11" w:type="default"/>
      <w:footerReference r:id="rId12" w:type="first"/>
      <w:pgSz w:h="16838" w:orient="portrait" w:w="11906"/>
      <w:pgMar w:bottom="1440" w:footer="720" w:header="720" w:left="1440" w:right="1440" w:top="1440"/>
      <w:pgNumType w:start="1"/>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2">
    <w:pPr>
      <w:rPr/>
    </w:pP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decimal"/>
      <w:lvlText w:val="%1."/>
      <w:lvlJc w:val="right"/>
      <w:pPr>
        <w:ind w:hanging="360" w:left="720"/>
      </w:pPr>
      <w:rPr>
        <w:u w:val="none"/>
      </w:rPr>
    </w:lvl>
    <w:lvl w:ilvl="1">
      <w:start w:val="1"/>
      <w:numFmt w:val="decimal"/>
      <w:lvlText w:val="%1.%2."/>
      <w:lvlJc w:val="right"/>
      <w:pPr>
        <w:ind w:hanging="360" w:left="1440"/>
      </w:pPr>
      <w:rPr>
        <w:u w:val="none"/>
      </w:rPr>
    </w:lvl>
    <w:lvl w:ilvl="2">
      <w:start w:val="1"/>
      <w:numFmt w:val="decimal"/>
      <w:lvlText w:val="%1.%2.%3."/>
      <w:lvlJc w:val="right"/>
      <w:pPr>
        <w:ind w:hanging="360" w:left="2160"/>
      </w:pPr>
      <w:rPr>
        <w:u w:val="none"/>
      </w:rPr>
    </w:lvl>
    <w:lvl w:ilvl="3">
      <w:start w:val="1"/>
      <w:numFmt w:val="decimal"/>
      <w:lvlText w:val="%1.%2.%3.%4."/>
      <w:lvlJc w:val="right"/>
      <w:pPr>
        <w:ind w:hanging="360" w:left="2880"/>
      </w:pPr>
      <w:rPr>
        <w:u w:val="none"/>
      </w:rPr>
    </w:lvl>
    <w:lvl w:ilvl="4">
      <w:start w:val="1"/>
      <w:numFmt w:val="decimal"/>
      <w:lvlText w:val="%1.%2.%3.%4.%5."/>
      <w:lvlJc w:val="right"/>
      <w:pPr>
        <w:ind w:hanging="360" w:left="3600"/>
      </w:pPr>
      <w:rPr>
        <w:u w:val="none"/>
      </w:rPr>
    </w:lvl>
    <w:lvl w:ilvl="5">
      <w:start w:val="1"/>
      <w:numFmt w:val="decimal"/>
      <w:lvlText w:val="%1.%2.%3.%4.%5.%6."/>
      <w:lvlJc w:val="right"/>
      <w:pPr>
        <w:ind w:hanging="360" w:left="4320"/>
      </w:pPr>
      <w:rPr>
        <w:u w:val="none"/>
      </w:rPr>
    </w:lvl>
    <w:lvl w:ilvl="6">
      <w:start w:val="1"/>
      <w:numFmt w:val="decimal"/>
      <w:lvlText w:val="%1.%2.%3.%4.%5.%6.%7."/>
      <w:lvlJc w:val="right"/>
      <w:pPr>
        <w:ind w:hanging="360" w:left="5040"/>
      </w:pPr>
      <w:rPr>
        <w:u w:val="none"/>
      </w:rPr>
    </w:lvl>
    <w:lvl w:ilvl="7">
      <w:start w:val="1"/>
      <w:numFmt w:val="decimal"/>
      <w:lvlText w:val="%1.%2.%3.%4.%5.%6.%7.%8."/>
      <w:lvlJc w:val="right"/>
      <w:pPr>
        <w:ind w:hanging="360" w:left="5760"/>
      </w:pPr>
      <w:rPr>
        <w:u w:val="none"/>
      </w:rPr>
    </w:lvl>
    <w:lvl w:ilvl="8">
      <w:start w:val="1"/>
      <w:numFmt w:val="decimal"/>
      <w:lvlText w:val="%1.%2.%3.%4.%5.%6.%7.%8.%9."/>
      <w:lvlJc w:val="right"/>
      <w:pPr>
        <w:ind w:hanging="360" w:left="6480"/>
      </w:pPr>
      <w:rPr>
        <w:u w:val="none"/>
      </w:rPr>
    </w:lvl>
  </w:abstractNum>
  <w:abstractNum w:abstractNumId="2">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sz w:val="24"/>
        <w:szCs w:val="24"/>
        <w:lang w:val="en"/>
      </w:rPr>
    </w:rPrDefault>
    <w:pPrDefault>
      <w:pPr>
        <w:spacing w:line="480" w:lineRule="auto"/>
        <w:jc w:val="both"/>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0" w:line="480" w:lineRule="auto"/>
      <w:ind w:hanging="360" w:left="720"/>
    </w:pPr>
    <w:rPr>
      <w:b w:val="1"/>
      <w:bCs w:val="1"/>
      <w:sz w:val="24"/>
      <w:szCs w:val="24"/>
    </w:rPr>
  </w:style>
  <w:style w:styleId="Heading2" w:type="paragraph">
    <w:name w:val="heading 2"/>
    <w:basedOn w:val="Normal"/>
    <w:next w:val="Normal"/>
    <w:pPr>
      <w:keepNext w:val="1"/>
      <w:keepLines w:val="1"/>
      <w:ind w:firstLine="720"/>
    </w:pPr>
    <w:rPr>
      <w:b w:val="1"/>
      <w:bCs w:val="1"/>
    </w:rPr>
  </w:style>
  <w:style w:styleId="Heading3" w:type="paragraph">
    <w:name w:val="heading 3"/>
    <w:basedOn w:val="Normal"/>
    <w:next w:val="Normal"/>
    <w:pPr>
      <w:keepNext w:val="1"/>
      <w:keepLines w:val="1"/>
      <w:ind w:firstLine="720" w:left="720"/>
    </w:pPr>
    <w:rPr>
      <w:b w:val="1"/>
      <w:bCs w:val="1"/>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jc w:val="center"/>
    </w:pPr>
    <w:rPr>
      <w:b w:val="1"/>
      <w:bCs w:val="1"/>
    </w:rPr>
  </w:style>
  <w:style w:styleId="Subtitle" w:type="paragraph">
    <w:name w:val="Subtitle"/>
    <w:basedOn w:val="Normal"/>
    <w:next w:val="Normal"/>
    <w:pPr>
      <w:keepNext w:val="1"/>
      <w:keepLines w:val="1"/>
      <w:spacing w:line="240" w:lineRule="auto"/>
      <w:jc w:val="center"/>
    </w:pPr>
    <w:rPr>
      <w:sz w:val="20"/>
      <w:szCs w:val="20"/>
    </w:rPr>
  </w:style>
  <w:style w:styleId="Table1" w:type="table">
    <w:basedOn w:val="TableNormal"/>
    <w:tblPr>
      <w:tblStyleRowBandSize w:val="1"/>
      <w:tblStyleColBandSize w:val="1"/>
    </w:tblPr>
  </w:style>
  <w:style w:styleId="Table2" w:type="table">
    <w:basedOn w:val="TableNormal"/>
    <w:tblPr>
      <w:tblStyleRowBandSize w:val="1"/>
      <w:tblStyleColBandSize w:val="1"/>
    </w:tbl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28" Target="numbering.xml" /><Relationship Type="http://schemas.openxmlformats.org/officeDocument/2006/relationships/styles" Id="rId127" Target="styles.xml" /><Relationship Type="http://schemas.openxmlformats.org/officeDocument/2006/relationships/settings" Id="rId126" Target="settings.xml" /><Relationship Type="http://schemas.openxmlformats.org/officeDocument/2006/relationships/webSettings" Id="rId125" Target="webSettings.xml" /><Relationship Type="http://schemas.openxmlformats.org/officeDocument/2006/relationships/fontTable" Id="rId124" Target="fontTable.xml" /><Relationship Type="http://schemas.openxmlformats.org/officeDocument/2006/relationships/theme" Id="rId123" Target="theme/theme1.xml" /><Relationship Type="http://schemas.openxmlformats.org/officeDocument/2006/relationships/footnotes" Id="rId122" Target="footnotes.xml" /><Relationship Type="http://schemas.openxmlformats.org/officeDocument/2006/relationships/comments" Id="rId121" Target="comments.xml" /><Relationship Id="rId11" Target="footer2.xml" Type="http://schemas.openxmlformats.org/officeDocument/2006/relationships/footer" /><Relationship Id="rId10" Target="header1.xml" Type="http://schemas.openxmlformats.org/officeDocument/2006/relationships/header" /><Relationship Id="rId12" Target="footer1.xml" Type="http://schemas.openxmlformats.org/officeDocument/2006/relationships/footer" /><Relationship Id="rId9" Target="media/image2.png" Type="http://schemas.openxmlformats.org/officeDocument/2006/relationships/image" /><Relationship Id="rId6" Target="media/image1.png" Type="http://schemas.openxmlformats.org/officeDocument/2006/relationships/image" /><Relationship Id="rId8" Target="media/image3.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81" Target="media/rId81.png" Type="http://schemas.openxmlformats.org/officeDocument/2006/relationships/image" /><Relationship Id="rId84" Target="media/rId84.png" Type="http://schemas.openxmlformats.org/officeDocument/2006/relationships/image" /><Relationship Id="rId117" Target="media/rId117.png" Type="http://schemas.openxmlformats.org/officeDocument/2006/relationships/image" /><Relationship Id="rId120" Target="media/rId120.png" Type="http://schemas.openxmlformats.org/officeDocument/2006/relationships/image"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hyperlink" Id="rId129" Target="https://github.com/xdewu0508/QF4211Project"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_rels/footnotes.xml.rels><?xml version="1.0" encoding="UTF-8"?><Relationships xmlns="http://schemas.openxmlformats.org/package/2006/relationships"><Relationship Type="http://schemas.openxmlformats.org/officeDocument/2006/relationships/hyperlink" Id="rId129" Target="https://github.com/xdewu0508/QF4211Projec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Comparative Backtesting Study of Machine Learning and Rule-Based Trading Strategies in Cryptocurrency Markets</dc:title>
  <dc:creator/>
  <cp:keywords/>
  <dcterms:created xsi:type="dcterms:W3CDTF">2026-04-22T06:41:35Z</dcterms:created>
  <dcterms:modified xsi:type="dcterms:W3CDTF">2026-04-22T06:41:35Z</dcterms:modified>
</cp:coreProperties>
</file>

<file path=docProps/custom.xml><?xml version="1.0" encoding="utf-8"?>
<Properties xmlns="http://schemas.openxmlformats.org/officeDocument/2006/custom-properties" xmlns:vt="http://schemas.openxmlformats.org/officeDocument/2006/docPropsVTypes"/>
</file>