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Rebuttal to Peer Review Suggestions</w:t>
      </w:r>
    </w:p>
    <w:p>
      <w:pPr>
        <w:pStyle w:val="FirstParagraph"/>
      </w:pPr>
      <w:r>
        <w:t xml:space="preserve">This document summarizes how we addressed the peer-review comments for the revised submission. The revision scope for this round was intentionally limited to the report, the rebuttal, and repository-level reproducibility materials. We did</w:t>
      </w:r>
      <w:r>
        <w:t xml:space="preserve"> </w:t>
      </w:r>
      <w:r>
        <w:rPr>
          <w:b/>
          <w:bCs/>
        </w:rPr>
        <w:t xml:space="preserve">not</w:t>
      </w:r>
      <w:r>
        <w:t xml:space="preserve"> </w:t>
      </w:r>
      <w:r>
        <w:t xml:space="preserve">add appendix analyses and we did</w:t>
      </w:r>
      <w:r>
        <w:t xml:space="preserve"> </w:t>
      </w:r>
      <w:r>
        <w:rPr>
          <w:b/>
          <w:bCs/>
        </w:rPr>
        <w:t xml:space="preserve">not</w:t>
      </w:r>
      <w:r>
        <w:t xml:space="preserve"> </w:t>
      </w:r>
      <w:r>
        <w:t xml:space="preserve">modify the code or saved outputs in</w:t>
      </w:r>
      <w:r>
        <w:t xml:space="preserve"> </w:t>
      </w:r>
      <w:r>
        <w:rPr>
          <w:rStyle w:val="VerbatimChar"/>
        </w:rPr>
        <w:t xml:space="preserve">project.ipynb</w:t>
      </w:r>
      <w:r>
        <w:t xml:space="preserve"> </w:t>
      </w:r>
      <w:r>
        <w:t xml:space="preserve">during this pass.</w:t>
      </w:r>
    </w:p>
    <w:bookmarkStart w:id="9" w:name="general-revisions-completed"/>
    <w:p>
      <w:pPr>
        <w:pStyle w:val="Heading1"/>
      </w:pPr>
      <w:r>
        <w:rPr>
          <w:rStyle w:val="SectionNumber"/>
        </w:rPr>
        <w:t xml:space="preserve">1</w:t>
      </w:r>
      <w:r>
        <w:tab/>
      </w:r>
      <w:r>
        <w:t xml:space="preserve">General Revisions Completed</w:t>
      </w:r>
    </w:p>
    <w:p>
      <w:pPr>
        <w:pStyle w:val="FirstParagraph"/>
      </w:pPr>
      <w:r>
        <w:t xml:space="preserve">The following broad suggestions were implemented across the revision:</w:t>
      </w:r>
    </w:p>
    <w:p>
      <w:pPr>
        <w:pStyle w:val="Compact"/>
        <w:numPr>
          <w:ilvl w:val="0"/>
          <w:numId w:val="1001"/>
        </w:numPr>
      </w:pPr>
      <w:r>
        <w:t xml:space="preserve">The research question and contribution are now framed more narrowly and directly.</w:t>
      </w:r>
    </w:p>
    <w:p>
      <w:pPr>
        <w:pStyle w:val="Compact"/>
        <w:numPr>
          <w:ilvl w:val="0"/>
          <w:numId w:val="1001"/>
        </w:numPr>
      </w:pPr>
      <w:r>
        <w:t xml:space="preserve">Section 5 now opens with a compact headline results table.</w:t>
      </w:r>
    </w:p>
    <w:p>
      <w:pPr>
        <w:pStyle w:val="Compact"/>
        <w:numPr>
          <w:ilvl w:val="0"/>
          <w:numId w:val="1001"/>
        </w:numPr>
      </w:pPr>
      <w:r>
        <w:t xml:space="preserve">The literature review has been shortened and space has been reallocated to methodology and analysis.</w:t>
      </w:r>
    </w:p>
    <w:p>
      <w:pPr>
        <w:pStyle w:val="Compact"/>
        <w:numPr>
          <w:ilvl w:val="0"/>
          <w:numId w:val="1001"/>
        </w:numPr>
      </w:pPr>
      <w:r>
        <w:t xml:space="preserve">The conclusion now answers the central question explicitly.</w:t>
      </w:r>
    </w:p>
    <w:p>
      <w:pPr>
        <w:pStyle w:val="Compact"/>
        <w:numPr>
          <w:ilvl w:val="0"/>
          <w:numId w:val="1001"/>
        </w:numPr>
      </w:pPr>
      <w:r>
        <w:t xml:space="preserve">The repository now includes a top-level</w:t>
      </w:r>
      <w:r>
        <w:t xml:space="preserve"> </w:t>
      </w:r>
      <w:r>
        <w:rPr>
          <w:rStyle w:val="VerbatimChar"/>
        </w:rPr>
        <w:t xml:space="preserve">README.md</w:t>
      </w:r>
      <w:r>
        <w:t xml:space="preserve"> </w:t>
      </w:r>
      <w:r>
        <w:t xml:space="preserve">and</w:t>
      </w:r>
      <w:r>
        <w:t xml:space="preserve"> </w:t>
      </w:r>
      <w:r>
        <w:rPr>
          <w:rStyle w:val="VerbatimChar"/>
        </w:rPr>
        <w:t xml:space="preserve">requirements.txt</w:t>
      </w:r>
      <w:r>
        <w:t xml:space="preserve">.</w:t>
      </w:r>
    </w:p>
    <w:p>
      <w:pPr>
        <w:pStyle w:val="Compact"/>
        <w:numPr>
          <w:ilvl w:val="0"/>
          <w:numId w:val="1001"/>
        </w:numPr>
      </w:pPr>
      <w:r>
        <w:t xml:space="preserve">The report now uses a smaller, more readable set of representative equity-curve figures.</w:t>
      </w:r>
    </w:p>
    <w:bookmarkEnd w:id="9"/>
    <w:bookmarkStart w:id="10" w:name="report-methodology-framing"/>
    <w:p>
      <w:pPr>
        <w:pStyle w:val="Heading1"/>
      </w:pPr>
      <w:r>
        <w:rPr>
          <w:rStyle w:val="SectionNumber"/>
        </w:rPr>
        <w:t xml:space="preserve">2</w:t>
      </w:r>
      <w:r>
        <w:tab/>
      </w:r>
      <w:r>
        <w:t xml:space="preserve">Report — Methodology &amp; Framing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Disposition</w:t>
            </w:r>
          </w:p>
        </w:tc>
        <w:tc>
          <w:tcPr/>
          <w:p>
            <w:pPr>
              <w:pStyle w:val="Compact"/>
            </w:pPr>
            <w:r>
              <w:t xml:space="preserve">Response</w:t>
            </w:r>
          </w:p>
        </w:tc>
      </w:tr>
      <w:tr>
        <w:tc>
          <w:tcPr/>
          <w:p>
            <w:pPr>
              <w:pStyle w:val="Compact"/>
            </w:pPr>
            <w:r>
              <w:t xml:space="preserve">Single train/test split and no cross-validation</w:t>
            </w:r>
          </w:p>
        </w:tc>
        <w:tc>
          <w:tcPr/>
          <w:p>
            <w:pPr>
              <w:pStyle w:val="Compact"/>
            </w:pPr>
            <w:r>
              <w:t xml:space="preserve">Limitation acknowledged</w:t>
            </w:r>
          </w:p>
        </w:tc>
        <w:tc>
          <w:tcPr/>
          <w:p>
            <w:pPr>
              <w:pStyle w:val="Compact"/>
            </w:pPr>
            <w:r>
              <w:t xml:space="preserve">We agree that one fixed chronological split cannot establish regime-stable generalization. The revised report now softens the robustness language in Sections 3.2 and 3.4 and explicitly states this limitation in Sections 6 and 7.</w:t>
            </w:r>
          </w:p>
        </w:tc>
      </w:tr>
      <w:tr>
        <w:tc>
          <w:tcPr/>
          <w:p>
            <w:pPr>
              <w:pStyle w:val="Compact"/>
            </w:pPr>
            <w:r>
              <w:t xml:space="preserve">Regime-conditioned analysis</w:t>
            </w:r>
          </w:p>
        </w:tc>
        <w:tc>
          <w:tcPr/>
          <w:p>
            <w:pPr>
              <w:pStyle w:val="Compact"/>
            </w:pPr>
            <w:r>
              <w:t xml:space="preserve">Deferred</w:t>
            </w:r>
          </w:p>
        </w:tc>
        <w:tc>
          <w:tcPr/>
          <w:p>
            <w:pPr>
              <w:pStyle w:val="Compact"/>
            </w:pPr>
            <w:r>
              <w:t xml:space="preserve">We agree that regime-conditioned reporting would strengthen the study, but we did not add appendix-style regime analysis in this revision round. The revised report now acknowledges the absence of regime-specific testing as a limitation.</w:t>
            </w:r>
          </w:p>
        </w:tc>
      </w:tr>
      <w:tr>
        <w:tc>
          <w:tcPr/>
          <w:p>
            <w:pPr>
              <w:pStyle w:val="Compact"/>
            </w:pPr>
            <w:r>
              <w:t xml:space="preserve">Binary classification target ignores return magnitude</w:t>
            </w:r>
          </w:p>
        </w:tc>
        <w:tc>
          <w:tcPr/>
          <w:p>
            <w:pPr>
              <w:pStyle w:val="Compact"/>
            </w:pPr>
            <w:r>
              <w:t xml:space="preserve">Limitation acknowledged</w:t>
            </w:r>
          </w:p>
        </w:tc>
        <w:tc>
          <w:tcPr/>
          <w:p>
            <w:pPr>
              <w:pStyle w:val="Compact"/>
            </w:pPr>
            <w:r>
              <w:t xml:space="preserve">We accept this as a real modelling limitation. The revised report now states that the binary target can miss economically important variation in return magnitude and presents regression-style targeting as future work.</w:t>
            </w:r>
          </w:p>
        </w:tc>
      </w:tr>
      <w:tr>
        <w:tc>
          <w:tcPr/>
          <w:p>
            <w:pPr>
              <w:pStyle w:val="Compact"/>
            </w:pPr>
            <w:r>
              <w:t xml:space="preserve">Sharpe formulation unexplained</w:t>
            </w:r>
          </w:p>
        </w:tc>
        <w:tc>
          <w:tcPr/>
          <w:p>
            <w:pPr>
              <w:pStyle w:val="Compact"/>
            </w:pPr>
            <w:r>
              <w:t xml:space="preserve">Fixed in report</w:t>
            </w:r>
          </w:p>
        </w:tc>
        <w:tc>
          <w:tcPr/>
          <w:p>
            <w:pPr>
              <w:pStyle w:val="Compact"/>
            </w:pPr>
            <w:r>
              <w:t xml:space="preserve">Section 4.4 now distinguishes the paper-style Sharpe from the annualized Sharpe and explains the role of each metric in the study.</w:t>
            </w:r>
          </w:p>
        </w:tc>
      </w:tr>
      <w:tr>
        <w:tc>
          <w:tcPr/>
          <w:p>
            <w:pPr>
              <w:pStyle w:val="Compact"/>
            </w:pPr>
            <w:r>
              <w:t xml:space="preserve">Short-only underperformance unexplained</w:t>
            </w:r>
          </w:p>
        </w:tc>
        <w:tc>
          <w:tcPr/>
          <w:p>
            <w:pPr>
              <w:pStyle w:val="Compact"/>
            </w:pPr>
            <w:r>
              <w:t xml:space="preserve">Fixed in report</w:t>
            </w:r>
          </w:p>
        </w:tc>
        <w:tc>
          <w:tcPr/>
          <w:p>
            <w:pPr>
              <w:pStyle w:val="Compact"/>
            </w:pPr>
            <w:r>
              <w:t xml:space="preserve">Section 5.4 now discusses the consistent underperformance of short-only strategies, linking it to the sample’s positive drift and the higher turnover/cost burden.</w:t>
            </w:r>
          </w:p>
        </w:tc>
      </w:tr>
      <w:tr>
        <w:tc>
          <w:tcPr/>
          <w:p>
            <w:pPr>
              <w:pStyle w:val="Compact"/>
            </w:pPr>
            <w:r>
              <w:t xml:space="preserve">Tuning asymmetry (ML vs rule-based)</w:t>
            </w:r>
          </w:p>
        </w:tc>
        <w:tc>
          <w:tcPr/>
          <w:p>
            <w:pPr>
              <w:pStyle w:val="Compact"/>
            </w:pPr>
            <w:r>
              <w:t xml:space="preserve">Clarified / rebutted</w:t>
            </w:r>
          </w:p>
        </w:tc>
        <w:tc>
          <w:tcPr/>
          <w:p>
            <w:pPr>
              <w:pStyle w:val="Compact"/>
            </w:pPr>
            <w:r>
              <w:t xml:space="preserve">The current code already tunes SMA and RSI via parameter grids and then applies the same validation-set thresholding pipeline used for the ML models. The revised report now states this explicitly in Section 4.2.2 so the comparison is not misread as asymmetric.</w:t>
            </w:r>
          </w:p>
        </w:tc>
      </w:tr>
      <w:tr>
        <w:tc>
          <w:tcPr/>
          <w:p>
            <w:pPr>
              <w:pStyle w:val="Compact"/>
            </w:pPr>
            <w:r>
              <w:t xml:space="preserve">Transaction cost sensitivity</w:t>
            </w:r>
          </w:p>
        </w:tc>
        <w:tc>
          <w:tcPr/>
          <w:p>
            <w:pPr>
              <w:pStyle w:val="Compact"/>
            </w:pPr>
            <w:r>
              <w:t xml:space="preserve">Limitation acknowledged</w:t>
            </w:r>
          </w:p>
        </w:tc>
        <w:tc>
          <w:tcPr/>
          <w:p>
            <w:pPr>
              <w:pStyle w:val="Compact"/>
            </w:pPr>
            <w:r>
              <w:t xml:space="preserve">We already report both no-cost and with-cost results, which partially addresses this concern. However, we did not add a wider fee sweep (for example 0.1%) in this revision, and the revised report now notes this as a limitation.</w:t>
            </w:r>
          </w:p>
        </w:tc>
      </w:tr>
      <w:tr>
        <w:tc>
          <w:tcPr/>
          <w:p>
            <w:pPr>
              <w:pStyle w:val="Compact"/>
            </w:pPr>
            <w:r>
              <w:t xml:space="preserve">Backtest realism</w:t>
            </w:r>
          </w:p>
        </w:tc>
        <w:tc>
          <w:tcPr/>
          <w:p>
            <w:pPr>
              <w:pStyle w:val="Compact"/>
            </w:pPr>
            <w:r>
              <w:t xml:space="preserve">Limitation acknowledged</w:t>
            </w:r>
          </w:p>
        </w:tc>
        <w:tc>
          <w:tcPr/>
          <w:p>
            <w:pPr>
              <w:pStyle w:val="Compact"/>
            </w:pPr>
            <w:r>
              <w:t xml:space="preserve">We agree that the backtest omits slippage, latency, liquidity constraints, and realistic shorting mechanics. Section 6 now states these omissions directly.</w:t>
            </w:r>
          </w:p>
        </w:tc>
      </w:tr>
      <w:tr>
        <w:tc>
          <w:tcPr/>
          <w:p>
            <w:pPr>
              <w:pStyle w:val="Compact"/>
            </w:pPr>
            <w:r>
              <w:t xml:space="preserve">Precision-first tuning vs Sharpe objective</w:t>
            </w:r>
          </w:p>
        </w:tc>
        <w:tc>
          <w:tcPr/>
          <w:p>
            <w:pPr>
              <w:pStyle w:val="Compact"/>
            </w:pPr>
            <w:r>
              <w:t xml:space="preserve">Fixed in report</w:t>
            </w:r>
          </w:p>
        </w:tc>
        <w:tc>
          <w:tcPr/>
          <w:p>
            <w:pPr>
              <w:pStyle w:val="Compact"/>
            </w:pPr>
            <w:r>
              <w:t xml:space="preserve">Section 4.4 now explains that the thresholding rule is deliberately precision-first under feasibility constraints to select higher-confidence signals, while Sharpe remains the downstream economic evaluation metric.</w:t>
            </w:r>
          </w:p>
        </w:tc>
      </w:tr>
      <w:tr>
        <w:tc>
          <w:tcPr/>
          <w:p>
            <w:pPr>
              <w:pStyle w:val="Compact"/>
            </w:pPr>
            <w:r>
              <w:t xml:space="preserve">Noisy hourly frequency</w:t>
            </w:r>
          </w:p>
        </w:tc>
        <w:tc>
          <w:tcPr/>
          <w:p>
            <w:pPr>
              <w:pStyle w:val="Compact"/>
            </w:pPr>
            <w:r>
              <w:t xml:space="preserve">Limitation acknowledged</w:t>
            </w:r>
          </w:p>
        </w:tc>
        <w:tc>
          <w:tcPr/>
          <w:p>
            <w:pPr>
              <w:pStyle w:val="Compact"/>
            </w:pPr>
            <w:r>
              <w:t xml:space="preserve">We retain hourly data because it is central to the reference-paper setting and to the project design, but Section 6 now states that hourly frequency is noisy and turnover-sensitive.</w:t>
            </w:r>
          </w:p>
        </w:tc>
      </w:tr>
    </w:tbl>
    <w:bookmarkEnd w:id="10"/>
    <w:bookmarkStart w:id="11" w:name="report-writing-presentation"/>
    <w:p>
      <w:pPr>
        <w:pStyle w:val="Heading1"/>
      </w:pPr>
      <w:r>
        <w:rPr>
          <w:rStyle w:val="SectionNumber"/>
        </w:rPr>
        <w:t xml:space="preserve">3</w:t>
      </w:r>
      <w:r>
        <w:tab/>
      </w:r>
      <w:r>
        <w:t xml:space="preserve">Report — Writing &amp; Presentation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Disposition</w:t>
            </w:r>
          </w:p>
        </w:tc>
        <w:tc>
          <w:tcPr/>
          <w:p>
            <w:pPr>
              <w:pStyle w:val="Compact"/>
            </w:pPr>
            <w:r>
              <w:t xml:space="preserve">Response</w:t>
            </w:r>
          </w:p>
        </w:tc>
      </w:tr>
      <w:tr>
        <w:tc>
          <w:tcPr/>
          <w:p>
            <w:pPr>
              <w:pStyle w:val="Compact"/>
            </w:pPr>
            <w:r>
              <w:t xml:space="preserve">Cluttered equity curves</w:t>
            </w:r>
          </w:p>
        </w:tc>
        <w:tc>
          <w:tcPr/>
          <w:p>
            <w:pPr>
              <w:pStyle w:val="Compact"/>
            </w:pPr>
            <w:r>
              <w:t xml:space="preserve">Fixed in report</w:t>
            </w:r>
          </w:p>
        </w:tc>
        <w:tc>
          <w:tcPr/>
          <w:p>
            <w:pPr>
              <w:pStyle w:val="Compact"/>
            </w:pPr>
            <w:r>
              <w:t xml:space="preserve">The revised report replaces the unreadable bundled discussion with a smaller set of representative long-only with-cost plots comparing buy-and-hold with the best feasible configuration per model.</w:t>
            </w:r>
          </w:p>
        </w:tc>
      </w:tr>
      <w:tr>
        <w:tc>
          <w:tcPr/>
          <w:p>
            <w:pPr>
              <w:pStyle w:val="Compact"/>
            </w:pPr>
            <w:r>
              <w:t xml:space="preserve">Conclusion does not answer the research question</w:t>
            </w:r>
          </w:p>
        </w:tc>
        <w:tc>
          <w:tcPr/>
          <w:p>
            <w:pPr>
              <w:pStyle w:val="Compact"/>
            </w:pPr>
            <w:r>
              <w:t xml:space="preserve">Fixed in report</w:t>
            </w:r>
          </w:p>
        </w:tc>
        <w:tc>
          <w:tcPr/>
          <w:p>
            <w:pPr>
              <w:pStyle w:val="Compact"/>
            </w:pPr>
            <w:r>
              <w:t xml:space="preserve">The conclusion now states directly that, within the submitted evaluation design, ML does not outperform rule-based strategies and buy-and-hold in any broad or robust sense once costs are applied.</w:t>
            </w:r>
          </w:p>
        </w:tc>
      </w:tr>
      <w:tr>
        <w:tc>
          <w:tcPr/>
          <w:p>
            <w:pPr>
              <w:pStyle w:val="Compact"/>
            </w:pPr>
            <w:r>
              <w:t xml:space="preserve">Feature importance analysis absent / no model explainability</w:t>
            </w:r>
          </w:p>
        </w:tc>
        <w:tc>
          <w:tcPr/>
          <w:p>
            <w:pPr>
              <w:pStyle w:val="Compact"/>
            </w:pPr>
            <w:r>
              <w:t xml:space="preserve">Limitation acknowledged</w:t>
            </w:r>
          </w:p>
        </w:tc>
        <w:tc>
          <w:tcPr/>
          <w:p>
            <w:pPr>
              <w:pStyle w:val="Compact"/>
            </w:pPr>
            <w:r>
              <w:t xml:space="preserve">We agree that explainability would strengthen the interpretation of the extended feature sets, but we did not add SHAP or feature-importance analysis in this revision. The absence of formal explainability is now stated in Section 6.</w:t>
            </w:r>
          </w:p>
        </w:tc>
      </w:tr>
      <w:tr>
        <w:tc>
          <w:tcPr/>
          <w:p>
            <w:pPr>
              <w:pStyle w:val="Compact"/>
            </w:pPr>
            <w:r>
              <w:t xml:space="preserve">Rule-based strategy implementation vague</w:t>
            </w:r>
          </w:p>
        </w:tc>
        <w:tc>
          <w:tcPr/>
          <w:p>
            <w:pPr>
              <w:pStyle w:val="Compact"/>
            </w:pPr>
            <w:r>
              <w:t xml:space="preserve">Fixed in report</w:t>
            </w:r>
          </w:p>
        </w:tc>
        <w:tc>
          <w:tcPr/>
          <w:p>
            <w:pPr>
              <w:pStyle w:val="Compact"/>
            </w:pPr>
            <w:r>
              <w:t xml:space="preserve">Section 4.2.2 now explains the SMA and RSI parameter grids more explicitly and states that long-only, short-only, and long-short structures apply to the rule-based strategies as well.</w:t>
            </w:r>
          </w:p>
        </w:tc>
      </w:tr>
      <w:tr>
        <w:tc>
          <w:tcPr/>
          <w:p>
            <w:pPr>
              <w:pStyle w:val="Compact"/>
            </w:pPr>
            <w:r>
              <w:t xml:space="preserve">Infeasible configurations not explained</w:t>
            </w:r>
          </w:p>
        </w:tc>
        <w:tc>
          <w:tcPr/>
          <w:p>
            <w:pPr>
              <w:pStyle w:val="Compact"/>
            </w:pPr>
            <w:r>
              <w:t xml:space="preserve">Fixed in report</w:t>
            </w:r>
          </w:p>
        </w:tc>
        <w:tc>
          <w:tcPr/>
          <w:p>
            <w:pPr>
              <w:pStyle w:val="Compact"/>
            </w:pPr>
            <w:r>
              <w:t xml:space="preserve">Section 4.4 now explains the feasibility filters: candidate thresholds must satisfy minimum trade-count, signal-ratio, and recall requirements before being admitted to the feasible summary tables.</w:t>
            </w:r>
          </w:p>
        </w:tc>
      </w:tr>
      <w:tr>
        <w:tc>
          <w:tcPr/>
          <w:p>
            <w:pPr>
              <w:pStyle w:val="Compact"/>
            </w:pPr>
            <w:r>
              <w:t xml:space="preserve">Literature review too long</w:t>
            </w:r>
          </w:p>
        </w:tc>
        <w:tc>
          <w:tcPr/>
          <w:p>
            <w:pPr>
              <w:pStyle w:val="Compact"/>
            </w:pPr>
            <w:r>
              <w:t xml:space="preserve">Fixed in report</w:t>
            </w:r>
          </w:p>
        </w:tc>
        <w:tc>
          <w:tcPr/>
          <w:p>
            <w:pPr>
              <w:pStyle w:val="Compact"/>
            </w:pPr>
            <w:r>
              <w:t xml:space="preserve">The literature review has been shortened and the saved space has been reallocated to methodology clarification and result interpretation.</w:t>
            </w:r>
          </w:p>
        </w:tc>
      </w:tr>
      <w:tr>
        <w:tc>
          <w:tcPr/>
          <w:p>
            <w:pPr>
              <w:pStyle w:val="Compact"/>
            </w:pPr>
            <w:r>
              <w:t xml:space="preserve">No title / no visuals</w:t>
            </w:r>
          </w:p>
        </w:tc>
        <w:tc>
          <w:tcPr/>
          <w:p>
            <w:pPr>
              <w:pStyle w:val="Compact"/>
            </w:pPr>
            <w:r>
              <w:t xml:space="preserve">Clarified</w:t>
            </w:r>
          </w:p>
        </w:tc>
        <w:tc>
          <w:tcPr/>
          <w:p>
            <w:pPr>
              <w:pStyle w:val="Compact"/>
            </w:pPr>
            <w:r>
              <w:t xml:space="preserve">The report already had a title and figures. The real issue was readability and emphasis, which has now been addressed through the revised framing, summary table, and representative plots.</w:t>
            </w:r>
          </w:p>
        </w:tc>
      </w:tr>
    </w:tbl>
    <w:bookmarkEnd w:id="11"/>
    <w:bookmarkStart w:id="12" w:name="code-structure-reproducibility"/>
    <w:p>
      <w:pPr>
        <w:pStyle w:val="Heading1"/>
      </w:pPr>
      <w:r>
        <w:rPr>
          <w:rStyle w:val="SectionNumber"/>
        </w:rPr>
        <w:t xml:space="preserve">4</w:t>
      </w:r>
      <w:r>
        <w:tab/>
      </w:r>
      <w:r>
        <w:t xml:space="preserve">Code — Structure &amp; Reproducibility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Disposition</w:t>
            </w:r>
          </w:p>
        </w:tc>
        <w:tc>
          <w:tcPr/>
          <w:p>
            <w:pPr>
              <w:pStyle w:val="Compact"/>
            </w:pPr>
            <w:r>
              <w:t xml:space="preserve">Response</w:t>
            </w:r>
          </w:p>
        </w:tc>
      </w:tr>
      <w:tr>
        <w:tc>
          <w:tcPr/>
          <w:p>
            <w:pPr>
              <w:pStyle w:val="Compact"/>
            </w:pPr>
            <w:r>
              <w:t xml:space="preserve">No README file</w:t>
            </w:r>
          </w:p>
        </w:tc>
        <w:tc>
          <w:tcPr/>
          <w:p>
            <w:pPr>
              <w:pStyle w:val="Compact"/>
            </w:pPr>
            <w:r>
              <w:t xml:space="preserve">Fixed</w:t>
            </w:r>
          </w:p>
        </w:tc>
        <w:tc>
          <w:tcPr/>
          <w:p>
            <w:pPr>
              <w:pStyle w:val="Compact"/>
            </w:pPr>
            <w:r>
              <w:t xml:space="preserve">A top-level</w:t>
            </w:r>
            <w:r>
              <w:t xml:space="preserve"> </w:t>
            </w:r>
            <w:r>
              <w:rPr>
                <w:rStyle w:val="VerbatimChar"/>
              </w:rPr>
              <w:t xml:space="preserve">README.md</w:t>
            </w:r>
            <w:r>
              <w:t xml:space="preserve"> </w:t>
            </w:r>
            <w:r>
              <w:t xml:space="preserve">has been added. It identifies</w:t>
            </w:r>
            <w:r>
              <w:t xml:space="preserve"> </w:t>
            </w:r>
            <w:r>
              <w:rPr>
                <w:rStyle w:val="VerbatimChar"/>
              </w:rPr>
              <w:t xml:space="preserve">project.ipynb</w:t>
            </w:r>
            <w:r>
              <w:t xml:space="preserve"> </w:t>
            </w:r>
            <w:r>
              <w:t xml:space="preserve">as the canonical pipeline, explains the workflow, and maps the key outputs used by the report.</w:t>
            </w:r>
          </w:p>
        </w:tc>
      </w:tr>
      <w:tr>
        <w:tc>
          <w:tcPr/>
          <w:p>
            <w:pPr>
              <w:pStyle w:val="Compact"/>
            </w:pPr>
            <w:r>
              <w:t xml:space="preserve">No requirements.txt</w:t>
            </w:r>
          </w:p>
        </w:tc>
        <w:tc>
          <w:tcPr/>
          <w:p>
            <w:pPr>
              <w:pStyle w:val="Compact"/>
            </w:pPr>
            <w:r>
              <w:t xml:space="preserve">Fixed</w:t>
            </w:r>
          </w:p>
        </w:tc>
        <w:tc>
          <w:tcPr/>
          <w:p>
            <w:pPr>
              <w:pStyle w:val="Compact"/>
            </w:pPr>
            <w:r>
              <w:t xml:space="preserve">A top-level</w:t>
            </w:r>
            <w:r>
              <w:t xml:space="preserve"> </w:t>
            </w:r>
            <w:r>
              <w:rPr>
                <w:rStyle w:val="VerbatimChar"/>
              </w:rPr>
              <w:t xml:space="preserve">requirements.txt</w:t>
            </w:r>
            <w:r>
              <w:t xml:space="preserve"> </w:t>
            </w:r>
            <w:r>
              <w:t xml:space="preserve">has been added with the main package dependencies required for the current pipeline.</w:t>
            </w:r>
          </w:p>
        </w:tc>
      </w:tr>
      <w:tr>
        <w:tc>
          <w:tcPr/>
          <w:p>
            <w:pPr>
              <w:pStyle w:val="Compact"/>
            </w:pPr>
            <w:r>
              <w:t xml:space="preserve">Inaccessible GitHub repository</w:t>
            </w:r>
          </w:p>
        </w:tc>
        <w:tc>
          <w:tcPr/>
          <w:p>
            <w:pPr>
              <w:pStyle w:val="Compact"/>
            </w:pPr>
            <w:r>
              <w:t xml:space="preserve">Clarified</w:t>
            </w:r>
          </w:p>
        </w:tc>
        <w:tc>
          <w:tcPr/>
          <w:p>
            <w:pPr>
              <w:pStyle w:val="Compact"/>
            </w:pPr>
            <w:r>
              <w:t xml:space="preserve">The repository has been checked and is being kept publicly accessible for the revised submission.</w:t>
            </w:r>
          </w:p>
        </w:tc>
      </w:tr>
      <w:tr>
        <w:tc>
          <w:tcPr/>
          <w:p>
            <w:pPr>
              <w:pStyle w:val="Compact"/>
            </w:pPr>
            <w:r>
              <w:t xml:space="preserve">Redundant / duplicate notebooks</w:t>
            </w:r>
          </w:p>
        </w:tc>
        <w:tc>
          <w:tcPr/>
          <w:p>
            <w:pPr>
              <w:pStyle w:val="Compact"/>
            </w:pPr>
            <w:r>
              <w:t xml:space="preserve">Clarified</w:t>
            </w:r>
          </w:p>
        </w:tc>
        <w:tc>
          <w:tcPr/>
          <w:p>
            <w:pPr>
              <w:pStyle w:val="Compact"/>
            </w:pPr>
            <w:r>
              <w:t xml:space="preserve">The repository still contains exploratory notebooks, but the new</w:t>
            </w:r>
            <w:r>
              <w:t xml:space="preserve"> </w:t>
            </w:r>
            <w:r>
              <w:rPr>
                <w:rStyle w:val="VerbatimChar"/>
              </w:rPr>
              <w:t xml:space="preserve">README.md</w:t>
            </w:r>
            <w:r>
              <w:t xml:space="preserve"> </w:t>
            </w:r>
            <w:r>
              <w:t xml:space="preserve">now states clearly that</w:t>
            </w:r>
            <w:r>
              <w:t xml:space="preserve"> </w:t>
            </w:r>
            <w:r>
              <w:rPr>
                <w:rStyle w:val="VerbatimChar"/>
              </w:rPr>
              <w:t xml:space="preserve">project.ipynb</w:t>
            </w:r>
            <w:r>
              <w:t xml:space="preserve"> </w:t>
            </w:r>
            <w:r>
              <w:t xml:space="preserve">is the canonical workflow and that the others should be interpreted as exploratory or legacy notebooks.</w:t>
            </w:r>
          </w:p>
        </w:tc>
      </w:tr>
      <w:tr>
        <w:tc>
          <w:tcPr/>
          <w:p>
            <w:pPr>
              <w:pStyle w:val="Compact"/>
            </w:pPr>
            <w:r>
              <w:t xml:space="preserve">GRU undocumented</w:t>
            </w:r>
          </w:p>
        </w:tc>
        <w:tc>
          <w:tcPr/>
          <w:p>
            <w:pPr>
              <w:pStyle w:val="Compact"/>
            </w:pPr>
            <w:r>
              <w:t xml:space="preserve">Fixed in report / docs</w:t>
            </w:r>
          </w:p>
        </w:tc>
        <w:tc>
          <w:tcPr/>
          <w:p>
            <w:pPr>
              <w:pStyle w:val="Compact"/>
            </w:pPr>
            <w:r>
              <w:t xml:space="preserve">The revised report gives a clearer description of the GRU architecture and the README clarifies that the GRU is part of the canonical</w:t>
            </w:r>
            <w:r>
              <w:t xml:space="preserve"> </w:t>
            </w:r>
            <w:r>
              <w:rPr>
                <w:rStyle w:val="VerbatimChar"/>
              </w:rPr>
              <w:t xml:space="preserve">project.ipynb</w:t>
            </w:r>
            <w:r>
              <w:t xml:space="preserve"> </w:t>
            </w:r>
            <w:r>
              <w:t xml:space="preserve">pipeline.</w:t>
            </w:r>
          </w:p>
        </w:tc>
      </w:tr>
      <w:tr>
        <w:tc>
          <w:tcPr/>
          <w:p>
            <w:pPr>
              <w:pStyle w:val="Compact"/>
            </w:pPr>
            <w:r>
              <w:t xml:space="preserve">Messy results output</w:t>
            </w:r>
          </w:p>
        </w:tc>
        <w:tc>
          <w:tcPr/>
          <w:p>
            <w:pPr>
              <w:pStyle w:val="Compact"/>
            </w:pPr>
            <w:r>
              <w:t xml:space="preserve">Partially fixed</w:t>
            </w:r>
          </w:p>
        </w:tc>
        <w:tc>
          <w:tcPr/>
          <w:p>
            <w:pPr>
              <w:pStyle w:val="Compact"/>
            </w:pPr>
            <w:r>
              <w:t xml:space="preserve">We did not restructure the large result tree in this revision, but the new</w:t>
            </w:r>
            <w:r>
              <w:t xml:space="preserve"> </w:t>
            </w:r>
            <w:r>
              <w:rPr>
                <w:rStyle w:val="VerbatimChar"/>
              </w:rPr>
              <w:t xml:space="preserve">README.md</w:t>
            </w:r>
            <w:r>
              <w:t xml:space="preserve"> </w:t>
            </w:r>
            <w:r>
              <w:t xml:space="preserve">now identifies the key result files and directories needed to cross-check the report.</w:t>
            </w:r>
          </w:p>
        </w:tc>
      </w:tr>
      <w:tr>
        <w:tc>
          <w:tcPr/>
          <w:p>
            <w:pPr>
              <w:pStyle w:val="Compact"/>
            </w:pPr>
            <w:r>
              <w:t xml:space="preserve">Reproducibility failure (GRU)</w:t>
            </w:r>
          </w:p>
        </w:tc>
        <w:tc>
          <w:tcPr/>
          <w:p>
            <w:pPr>
              <w:pStyle w:val="Compact"/>
            </w:pPr>
            <w:r>
              <w:t xml:space="preserve">Limitation acknowledged</w:t>
            </w:r>
          </w:p>
        </w:tc>
        <w:tc>
          <w:tcPr/>
          <w:p>
            <w:pPr>
              <w:pStyle w:val="Compact"/>
            </w:pPr>
            <w:r>
              <w:t xml:space="preserve">We acknowledge that the GRU component may vary across reruns. Because this revision pass intentionally froze</w:t>
            </w:r>
            <w:r>
              <w:t xml:space="preserve"> </w:t>
            </w:r>
            <w:r>
              <w:rPr>
                <w:rStyle w:val="VerbatimChar"/>
              </w:rPr>
              <w:t xml:space="preserve">project.ipynb</w:t>
            </w:r>
            <w:r>
              <w:t xml:space="preserve">, we did not change the code or outputs here; instead, the README now notes that deep-learning outputs may vary across environments, and the report avoids overstating any single GRU result.</w:t>
            </w:r>
          </w:p>
        </w:tc>
      </w:tr>
      <w:tr>
        <w:tc>
          <w:tcPr/>
          <w:p>
            <w:pPr>
              <w:pStyle w:val="Compact"/>
            </w:pPr>
            <w:r>
              <w:t xml:space="preserve">Sharpe variants lack inline comments in code</w:t>
            </w:r>
          </w:p>
        </w:tc>
        <w:tc>
          <w:tcPr/>
          <w:p>
            <w:pPr>
              <w:pStyle w:val="Compact"/>
            </w:pPr>
            <w:r>
              <w:t xml:space="preserve">Deferred</w:t>
            </w:r>
          </w:p>
        </w:tc>
        <w:tc>
          <w:tcPr/>
          <w:p>
            <w:pPr>
              <w:pStyle w:val="Compact"/>
            </w:pPr>
            <w:r>
              <w:t xml:space="preserve">This concern is valid, but notebook code was intentionally frozen in this revision pass. We addressed the explanation in the report and defer code-comment cleanup to a later notebook-only revision.</w:t>
            </w:r>
          </w:p>
        </w:tc>
      </w:tr>
    </w:tbl>
    <w:bookmarkEnd w:id="12"/>
    <w:bookmarkStart w:id="13" w:name="code-modelling-validation"/>
    <w:p>
      <w:pPr>
        <w:pStyle w:val="Heading1"/>
      </w:pPr>
      <w:r>
        <w:rPr>
          <w:rStyle w:val="SectionNumber"/>
        </w:rPr>
        <w:t xml:space="preserve">5</w:t>
      </w:r>
      <w:r>
        <w:tab/>
      </w:r>
      <w:r>
        <w:t xml:space="preserve">Code — Modelling &amp; 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Disposition</w:t>
            </w:r>
          </w:p>
        </w:tc>
        <w:tc>
          <w:tcPr/>
          <w:p>
            <w:pPr>
              <w:pStyle w:val="Compact"/>
            </w:pPr>
            <w:r>
              <w:t xml:space="preserve">Response</w:t>
            </w:r>
          </w:p>
        </w:tc>
      </w:tr>
      <w:tr>
        <w:tc>
          <w:tcPr/>
          <w:p>
            <w:pPr>
              <w:pStyle w:val="Compact"/>
            </w:pPr>
            <w:r>
              <w:t xml:space="preserve">Class imbalance not addressed</w:t>
            </w:r>
          </w:p>
        </w:tc>
        <w:tc>
          <w:tcPr/>
          <w:p>
            <w:pPr>
              <w:pStyle w:val="Compact"/>
            </w:pPr>
            <w:r>
              <w:t xml:space="preserve">Clarified / rebutted</w:t>
            </w:r>
          </w:p>
        </w:tc>
        <w:tc>
          <w:tcPr/>
          <w:p>
            <w:pPr>
              <w:pStyle w:val="Compact"/>
            </w:pPr>
            <w:r>
              <w:t xml:space="preserve">We checked the current training splits and found no strong class imbalance. The train-set label means are approximately BTC: 0.5036 / 0.4963, ETH: 0.5057 / 0.4940, XRP: 0.5048 / 0.4829, and SOL: 0.4921 / 0.4944 for</w:t>
            </w:r>
            <w:r>
              <w:t xml:space="preserve"> </w:t>
            </w:r>
            <w:r>
              <w:rPr>
                <w:rStyle w:val="VerbatimChar"/>
              </w:rPr>
              <w:t xml:space="preserve">label_up</w:t>
            </w:r>
            <w:r>
              <w:t xml:space="preserve"> </w:t>
            </w:r>
            <w:r>
              <w:t xml:space="preserve">/</w:t>
            </w:r>
            <w:r>
              <w:t xml:space="preserve"> </w:t>
            </w:r>
            <w:r>
              <w:rPr>
                <w:rStyle w:val="VerbatimChar"/>
              </w:rPr>
              <w:t xml:space="preserve">label_down</w:t>
            </w:r>
            <w:r>
              <w:t xml:space="preserve">. The small gap from 1 reflects zero-return hours rather than a dominant majority class.</w:t>
            </w:r>
          </w:p>
        </w:tc>
      </w:tr>
      <w:tr>
        <w:tc>
          <w:tcPr/>
          <w:p>
            <w:pPr>
              <w:pStyle w:val="Compact"/>
            </w:pPr>
            <w:r>
              <w:t xml:space="preserve">Limited hyperparameter tuning for ML models</w:t>
            </w:r>
          </w:p>
        </w:tc>
        <w:tc>
          <w:tcPr/>
          <w:p>
            <w:pPr>
              <w:pStyle w:val="Compact"/>
            </w:pPr>
            <w:r>
              <w:t xml:space="preserve">Limitation acknowledged</w:t>
            </w:r>
          </w:p>
        </w:tc>
        <w:tc>
          <w:tcPr/>
          <w:p>
            <w:pPr>
              <w:pStyle w:val="Compact"/>
            </w:pPr>
            <w:r>
              <w:t xml:space="preserve">We agree that the ML hyperparameters are more fixed than the rule-based window grids. The revised report now frames this as a comparability/runtime tradeoff and acknowledges it as a limitation.</w:t>
            </w:r>
          </w:p>
        </w:tc>
      </w:tr>
      <w:tr>
        <w:tc>
          <w:tcPr/>
          <w:p>
            <w:pPr>
              <w:pStyle w:val="Compact"/>
            </w:pPr>
            <w:r>
              <w:t xml:space="preserve">No feature selection or dimensionality reduction</w:t>
            </w:r>
          </w:p>
        </w:tc>
        <w:tc>
          <w:tcPr/>
          <w:p>
            <w:pPr>
              <w:pStyle w:val="Compact"/>
            </w:pPr>
            <w:r>
              <w:t xml:space="preserve">Limitation acknowledged</w:t>
            </w:r>
          </w:p>
        </w:tc>
        <w:tc>
          <w:tcPr/>
          <w:p>
            <w:pPr>
              <w:pStyle w:val="Compact"/>
            </w:pPr>
            <w:r>
              <w:t xml:space="preserve">We did not add feature-selection or dimensionality-reduction procedures in this revision. Section 6 now states this explicitly and identifies it as future work.</w:t>
            </w:r>
          </w:p>
        </w:tc>
      </w:tr>
      <w:tr>
        <w:tc>
          <w:tcPr/>
          <w:p>
            <w:pPr>
              <w:pStyle w:val="Compact"/>
            </w:pPr>
            <w:r>
              <w:t xml:space="preserve">No model explainability</w:t>
            </w:r>
          </w:p>
        </w:tc>
        <w:tc>
          <w:tcPr/>
          <w:p>
            <w:pPr>
              <w:pStyle w:val="Compact"/>
            </w:pPr>
            <w:r>
              <w:t xml:space="preserve">Limitation acknowledged</w:t>
            </w:r>
          </w:p>
        </w:tc>
        <w:tc>
          <w:tcPr/>
          <w:p>
            <w:pPr>
              <w:pStyle w:val="Compact"/>
            </w:pPr>
            <w:r>
              <w:t xml:space="preserve">This is merged with the feature-importance concern above. The revised report now acknowledges that the submitted version does not isolate which indicators drive the predictive improvements.</w:t>
            </w:r>
          </w:p>
        </w:tc>
      </w:tr>
    </w:tbl>
    <w:bookmarkEnd w:id="13"/>
    <w:bookmarkStart w:id="14" w:name="closing-note"/>
    <w:p>
      <w:pPr>
        <w:pStyle w:val="Heading1"/>
      </w:pPr>
      <w:r>
        <w:rPr>
          <w:rStyle w:val="SectionNumber"/>
        </w:rPr>
        <w:t xml:space="preserve">6</w:t>
      </w:r>
      <w:r>
        <w:tab/>
      </w:r>
      <w:r>
        <w:t xml:space="preserve">Closing Note</w:t>
      </w:r>
    </w:p>
    <w:p>
      <w:pPr>
        <w:pStyle w:val="FirstParagraph"/>
      </w:pPr>
      <w:r>
        <w:t xml:space="preserve">Overall, the revision strategy in this round was to fix issues that could be addressed through clearer writing, narrower claims, and better reproducibility documentation, while admitting genuine modelling limitations rather than overstating what the current design can prove.</w:t>
      </w:r>
    </w:p>
    <w:bookmarkEnd w:id="14"/>
    <w:sectPr>
      <w:pgSz w:h="16838" w:w="11906"/>
      <w:pgMar w:bottom="1440" w:footer="720" w:gutter="0" w:header="720" w:left="1800" w:right="1800" w:top="1440"/>
      <w:cols w:num="1" w:space="720"/>
      <w:docGrid w:charSpace="0"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黑体">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bordersDoNotSurroundHeader w:val="1"/>
  <w:bordersDoNotSurroundFooter w:val="1"/>
  <w:proofState w:grammar="clean" w:spelling="clean"/>
  <w:stylePaneFormatFilter w:val="0004"/>
  <w:doNotTrackMoves/>
  <w:documentProtection w:enforcement="0"/>
  <w:defaultTabStop w:val="720"/>
  <w:drawingGridHorizontalSpacing w:val="360"/>
  <w:drawingGridVerticalSpacing w:val="156"/>
  <w:displayHorizontalDrawingGridEvery w:val="0"/>
  <w:displayVerticalDrawingGridEvery w:val="2"/>
  <w:characterSpacingControl w:val="doNotCompress"/>
  <w:savePreviewPicture/>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9D6EE31"/>
    <w:rsid w:val="F9D6EE3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0" w:unhideWhenUsed="0"/>
    <w:lsdException w:name="heading 2" w:qFormat="1" w:uiPriority="0"/>
    <w:lsdException w:name="heading 3" w:qFormat="1" w:uiPriority="0"/>
    <w:lsdException w:name="heading 4" w:qFormat="1" w:uiPriority="0"/>
    <w:lsdException w:name="heading 5" w:qFormat="1" w:uiPriority="0"/>
    <w:lsdException w:name="heading 6" w:qFormat="1" w:uiPriority="0"/>
    <w:lsdException w:name="heading 7" w:qFormat="1" w:uiPriority="0"/>
    <w:lsdException w:name="heading 8" w:qFormat="1" w:uiPriority="0"/>
    <w:lsdException w:name="heading 9" w:qFormat="1" w:uiPriority="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qFormat="1" w:uiPriority="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qFormat="1"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qFormat="1"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qFormat="1" w:semiHidden="0" w:uiPriority="0" w:unhideWhenUsed="0"/>
    <w:lsdException w:name="Emphasis" w:qFormat="1"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rPr>
      <w:rFonts w:asciiTheme="minorHAnsi" w:cstheme="minorBidi" w:eastAsiaTheme="minorEastAsia" w:hAnsiTheme="minorHAnsi"/>
      <w:lang w:bidi="ar-SA" w:eastAsia="zh-CN" w:val="en-US"/>
    </w:rPr>
  </w:style>
  <w:style w:default="1" w:styleId="2" w:type="character">
    <w:name w:val="Default Paragraph Font"/>
    <w:semiHidden/>
    <w:uiPriority w:val="0"/>
  </w:style>
  <w:style w:default="1" w:styleId="3" w:type="table">
    <w:name w:val="Normal Table"/>
    <w:semiHidden/>
    <w:uiPriority w:val="0"/>
    <w:tblPr>
      <w:tblCellMar>
        <w:top w:type="dxa" w:w="0"/>
        <w:left w:type="dxa" w:w="108"/>
        <w:bottom w:type="dxa" w:w="0"/>
        <w:right w:type="dxa" w:w="108"/>
      </w:tblCellMar>
    </w:tbl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Rebuttal to Peer Review Suggestions</dc:title>
  <dc:creator/>
  <cp:keywords/>
  <dcterms:created xsi:type="dcterms:W3CDTF">2026-04-22T06:41:35Z</dcterms:created>
  <dcterms:modified xsi:type="dcterms:W3CDTF">2026-04-22T06:41:35Z</dcterms:modified>
</cp:coreProperties>
</file>

<file path=docProps/custom.xml><?xml version="1.0" encoding="utf-8"?>
<Properties xmlns="http://schemas.openxmlformats.org/officeDocument/2006/custom-properties" xmlns:vt="http://schemas.openxmlformats.org/officeDocument/2006/docPropsVTypes"/>
</file>