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Comparative Study of ML-Based Technical Trading vs. Traditional Strategies in the Cryptocurrency Market</w:t>
      </w:r>
    </w:p>
    <w:p w:rsidR="00000000" w:rsidDel="00000000" w:rsidP="00000000" w:rsidRDefault="00000000" w:rsidRPr="00000000" w14:paraId="00000002">
      <w:pPr>
        <w:spacing w:after="200" w:before="20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00" w:before="20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Research Question and Motivation</w:t>
      </w:r>
    </w:p>
    <w:p w:rsidR="00000000" w:rsidDel="00000000" w:rsidP="00000000" w:rsidRDefault="00000000" w:rsidRPr="00000000" w14:paraId="00000004">
      <w:pPr>
        <w:spacing w:after="200"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Research Question </w:t>
      </w:r>
    </w:p>
    <w:p w:rsidR="00000000" w:rsidDel="00000000" w:rsidP="00000000" w:rsidRDefault="00000000" w:rsidRPr="00000000" w14:paraId="00000005">
      <w:pPr>
        <w:spacing w:after="200" w:before="20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what extent do Machine Learning (ML) based trading strategies outperform traditional rule-based strategies and passive buy-and-hold benchmarks in terms of Sharpe Ratio after accounting for transaction costs?”</w:t>
      </w:r>
    </w:p>
    <w:p w:rsidR="00000000" w:rsidDel="00000000" w:rsidP="00000000" w:rsidRDefault="00000000" w:rsidRPr="00000000" w14:paraId="0000000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Background and Motivation </w:t>
      </w:r>
      <w:r w:rsidDel="00000000" w:rsidR="00000000" w:rsidRPr="00000000">
        <w:rPr>
          <w:rtl w:val="0"/>
        </w:rPr>
      </w:r>
    </w:p>
    <w:p w:rsidR="00000000" w:rsidDel="00000000" w:rsidP="00000000" w:rsidRDefault="00000000" w:rsidRPr="00000000" w14:paraId="00000007">
      <w:pPr>
        <w:spacing w:after="200" w:before="20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motivation is rooted in the unique nature of cryptocurrency markets, which lack traditional fundamentals and favor automated trading due to high volatility and 24/7 operation. While prior research notes that rule-based strategies like Moving Average (MA) and RSI can outperform buy-and-hold (Fang et al., 2022) and be “codified” into trading signals in ML models (Goutte et al., 2023), transaction costs are often overlooked, significantly eroding profits. Our project seeks to validate these models in a realistic trading environment across four major assets: Bitcoin (BTC), Ethereum (ETH), XRP, and Solana (SOL).</w:t>
      </w:r>
      <w:r w:rsidDel="00000000" w:rsidR="00000000" w:rsidRPr="00000000">
        <w:rPr>
          <w:rtl w:val="0"/>
        </w:rPr>
      </w:r>
    </w:p>
    <w:p w:rsidR="00000000" w:rsidDel="00000000" w:rsidP="00000000" w:rsidRDefault="00000000" w:rsidRPr="00000000" w14:paraId="00000008">
      <w:pPr>
        <w:spacing w:after="200" w:before="20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Dataset</w:t>
      </w:r>
    </w:p>
    <w:p w:rsidR="00000000" w:rsidDel="00000000" w:rsidP="00000000" w:rsidRDefault="00000000" w:rsidRPr="00000000" w14:paraId="00000009">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Data Source &amp; Assets</w:t>
      </w:r>
      <w:r w:rsidDel="00000000" w:rsidR="00000000" w:rsidRPr="00000000">
        <w:rPr>
          <w:rtl w:val="0"/>
        </w:rPr>
      </w:r>
    </w:p>
    <w:p w:rsidR="00000000" w:rsidDel="00000000" w:rsidP="00000000" w:rsidRDefault="00000000" w:rsidRPr="00000000" w14:paraId="0000000A">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utilize the hourly frequency data from </w:t>
      </w:r>
      <w:hyperlink r:id="rId6">
        <w:r w:rsidDel="00000000" w:rsidR="00000000" w:rsidRPr="00000000">
          <w:rPr>
            <w:rFonts w:ascii="Times New Roman" w:cs="Times New Roman" w:eastAsia="Times New Roman" w:hAnsi="Times New Roman"/>
            <w:color w:val="1155cc"/>
            <w:sz w:val="24"/>
            <w:szCs w:val="24"/>
            <w:u w:val="single"/>
            <w:rtl w:val="0"/>
          </w:rPr>
          <w:t xml:space="preserve">Binance Public Data</w:t>
        </w:r>
      </w:hyperlink>
      <w:r w:rsidDel="00000000" w:rsidR="00000000" w:rsidRPr="00000000">
        <w:rPr>
          <w:rFonts w:ascii="Times New Roman" w:cs="Times New Roman" w:eastAsia="Times New Roman" w:hAnsi="Times New Roman"/>
          <w:sz w:val="24"/>
          <w:szCs w:val="24"/>
          <w:rtl w:val="0"/>
        </w:rPr>
        <w:t xml:space="preserve"> archive.</w:t>
      </w:r>
    </w:p>
    <w:p w:rsidR="00000000" w:rsidDel="00000000" w:rsidP="00000000" w:rsidRDefault="00000000" w:rsidRPr="00000000" w14:paraId="0000000B">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focus will be on four major USDT trading pairs: BTC/USDT, ETH/USDT, XRP/USDT, and SOL/USDT, which are selected based on their high liquidity, historical depth, and representativeness of various cryptocurrencies categories. BTC and ETH reflect large-cap, institutionally adopted assets, while XRP and SOL provide variation in volatility and market structure. </w:t>
      </w:r>
    </w:p>
    <w:p w:rsidR="00000000" w:rsidDel="00000000" w:rsidP="00000000" w:rsidRDefault="00000000" w:rsidRPr="00000000" w14:paraId="0000000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Sample Period</w:t>
      </w:r>
      <w:r w:rsidDel="00000000" w:rsidR="00000000" w:rsidRPr="00000000">
        <w:rPr>
          <w:rtl w:val="0"/>
        </w:rPr>
      </w:r>
    </w:p>
    <w:p w:rsidR="00000000" w:rsidDel="00000000" w:rsidP="00000000" w:rsidRDefault="00000000" w:rsidRPr="00000000" w14:paraId="0000000D">
      <w:pPr>
        <w:spacing w:after="200" w:before="20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spans five years (2021-2025), capturing multiple market regimes, including bull markets, sharp corrections, and prolonged bearish phases. The inclusion of varying volatility environments allows evaluation of model robustness under different macro and crypto-specific cycles, improving generalisability.</w:t>
      </w:r>
    </w:p>
    <w:p w:rsidR="00000000" w:rsidDel="00000000" w:rsidP="00000000" w:rsidRDefault="00000000" w:rsidRPr="00000000" w14:paraId="0000000E">
      <w:pPr>
        <w:spacing w:after="200"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Frequency</w:t>
      </w:r>
    </w:p>
    <w:p w:rsidR="00000000" w:rsidDel="00000000" w:rsidP="00000000" w:rsidRDefault="00000000" w:rsidRPr="00000000" w14:paraId="0000000F">
      <w:pPr>
        <w:spacing w:after="200" w:before="20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trade data are aggregated into hourly time series with open, high, low, close (OHLC) prices, trading volume, and trade counts. Log returns are computed for modeling, and all features are based strictly on past data to avoid look-ahead bias. </w:t>
      </w:r>
    </w:p>
    <w:p w:rsidR="00000000" w:rsidDel="00000000" w:rsidP="00000000" w:rsidRDefault="00000000" w:rsidRPr="00000000" w14:paraId="00000010">
      <w:pPr>
        <w:spacing w:after="200" w:before="20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for each asset is divided chronologically into training (50%), validation (25%), and test (25%) sets, with no shuffling to preserve the temporal structure essential for financial time series analysis.</w:t>
      </w:r>
    </w:p>
    <w:p w:rsidR="00000000" w:rsidDel="00000000" w:rsidP="00000000" w:rsidRDefault="00000000" w:rsidRPr="00000000" w14:paraId="0000001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Methodology</w:t>
      </w:r>
      <w:r w:rsidDel="00000000" w:rsidR="00000000" w:rsidRPr="00000000">
        <w:rPr>
          <w:rtl w:val="0"/>
        </w:rPr>
      </w:r>
    </w:p>
    <w:p w:rsidR="00000000" w:rsidDel="00000000" w:rsidP="00000000" w:rsidRDefault="00000000" w:rsidRPr="00000000" w14:paraId="00000012">
      <w:pPr>
        <w:keepNext w:val="0"/>
        <w:keepLines w:val="0"/>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Feature Engineering</w:t>
      </w:r>
    </w:p>
    <w:p w:rsidR="00000000" w:rsidDel="00000000" w:rsidP="00000000" w:rsidRDefault="00000000" w:rsidRPr="00000000" w14:paraId="00000013">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construct two alternative price representations: the standard OHLC format and a candlestick-based representation that decomposes price into body size, upper and lower shadows, and directional component reflecting bullish or bearish sentiment to capture non-linear price dynamics. In addition to the raw dataset, we will build an extended dataset, augmenting prices with widely used technical indicators, including Simple Moving Averages (SMA), Relative Strength Index (RSI), MA Convergence/Divergence (MACD), etc.</w:t>
      </w:r>
    </w:p>
    <w:p w:rsidR="00000000" w:rsidDel="00000000" w:rsidP="00000000" w:rsidRDefault="00000000" w:rsidRPr="00000000" w14:paraId="00000014">
      <w:pPr>
        <w:keepNext w:val="0"/>
        <w:keepLines w:val="0"/>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Prediction Target and Labeling</w:t>
      </w:r>
    </w:p>
    <w:p w:rsidR="00000000" w:rsidDel="00000000" w:rsidP="00000000" w:rsidRDefault="00000000" w:rsidRPr="00000000" w14:paraId="00000015">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formulated as a binary classification task. Both long-only (using probability threshold) and long-short (based on probability extremes) trading structures are implemented, with a 24-hour lookback window to capture short-term momentum and mean-reversion effects. For each hour, the target variable is the sign of the next-hour log return: a positive return generates a long signal, while a negative return implies no-long (or short in the long-short framework). </w:t>
      </w:r>
    </w:p>
    <w:p w:rsidR="00000000" w:rsidDel="00000000" w:rsidP="00000000" w:rsidRDefault="00000000" w:rsidRPr="00000000" w14:paraId="00000016">
      <w:pPr>
        <w:keepNext w:val="0"/>
        <w:keepLines w:val="0"/>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Benchmark and Machine Learning Models</w:t>
      </w:r>
    </w:p>
    <w:p w:rsidR="00000000" w:rsidDel="00000000" w:rsidP="00000000" w:rsidRDefault="00000000" w:rsidRPr="00000000" w14:paraId="00000017">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answer our research question, we implement three categories of strategies: passive buy-and-hold to maintain constant exposure, traditional rule-based (SMA crossover rules and RSI threshold) to serve as technical benchmarks, and ML-based strategies, namely Logistic Regression as a linear baseline, XGBoost as a tree-based ensemble model, and a Gated Recurrent Unit (GRU) network as a recurrent deep learning model.</w:t>
      </w:r>
    </w:p>
    <w:p w:rsidR="00000000" w:rsidDel="00000000" w:rsidP="00000000" w:rsidRDefault="00000000" w:rsidRPr="00000000" w14:paraId="00000018">
      <w:pPr>
        <w:keepNext w:val="0"/>
        <w:keepLines w:val="0"/>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Transaction Costs and Backtesting</w:t>
      </w:r>
    </w:p>
    <w:p w:rsidR="00000000" w:rsidDel="00000000" w:rsidP="00000000" w:rsidRDefault="00000000" w:rsidRPr="00000000" w14:paraId="00000019">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contribution of our study is the incorporation of transaction costs. Based on the Binance regular user fee policy, a 0.035% transaction fee per trade (average of 0.02% and 0.05% per trade for makers and takers) is assumed, applied whenever positions change. </w:t>
      </w:r>
    </w:p>
    <w:p w:rsidR="00000000" w:rsidDel="00000000" w:rsidP="00000000" w:rsidRDefault="00000000" w:rsidRPr="00000000" w14:paraId="0000001A">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Backtesting follows a strict chronological framework: models are trained on the training set, tuned on the validation set, and evaluated only on the test set. Positions are executed at the next hour’s opening price and held for one hour unless updated by a new signal.</w:t>
      </w:r>
    </w:p>
    <w:p w:rsidR="00000000" w:rsidDel="00000000" w:rsidP="00000000" w:rsidRDefault="00000000" w:rsidRPr="00000000" w14:paraId="0000001B">
      <w:pPr>
        <w:keepNext w:val="0"/>
        <w:keepLines w:val="0"/>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Evaluation Metrics and Statistical Testing</w:t>
      </w:r>
    </w:p>
    <w:p w:rsidR="00000000" w:rsidDel="00000000" w:rsidP="00000000" w:rsidRDefault="00000000" w:rsidRPr="00000000" w14:paraId="0000001C">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evaluation metric is the annualized Sharpe ratio, computed using net hourly returns after transaction costs. Secondary metrics include average return per trade, precision, recall, turnover, and maximum drawdown. While these assess signal quality, Sharpe ratio serves as the main performance benchmark.</w:t>
      </w:r>
      <w:r w:rsidDel="00000000" w:rsidR="00000000" w:rsidRPr="00000000">
        <w:br w:type="page"/>
      </w:r>
      <w:r w:rsidDel="00000000" w:rsidR="00000000" w:rsidRPr="00000000">
        <w:rPr>
          <w:rtl w:val="0"/>
        </w:rPr>
      </w:r>
    </w:p>
    <w:p w:rsidR="00000000" w:rsidDel="00000000" w:rsidP="00000000" w:rsidRDefault="00000000" w:rsidRPr="00000000" w14:paraId="0000001D">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Task Division and Tentative Project Timeline</w:t>
      </w:r>
      <w:r w:rsidDel="00000000" w:rsidR="00000000" w:rsidRPr="00000000">
        <w:rPr>
          <w:rtl w:val="0"/>
        </w:rPr>
      </w:r>
    </w:p>
    <w:tbl>
      <w:tblPr>
        <w:tblStyle w:val="Table1"/>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710"/>
        <w:gridCol w:w="4380"/>
        <w:gridCol w:w="1755"/>
        <w:tblGridChange w:id="0">
          <w:tblGrid>
            <w:gridCol w:w="1365"/>
            <w:gridCol w:w="1710"/>
            <w:gridCol w:w="4380"/>
            <w:gridCol w:w="1755"/>
          </w:tblGrid>
        </w:tblGridChange>
      </w:tblGrid>
      <w:tr>
        <w:trPr>
          <w:cantSplit w:val="0"/>
          <w:trHeight w:val="46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Focus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be done by</w:t>
            </w:r>
          </w:p>
        </w:tc>
      </w:tr>
      <w:tr>
        <w:trPr>
          <w:cantSplit w:val="0"/>
          <w:trHeight w:val="256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Acquisition and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numPr>
                <w:ilvl w:val="0"/>
                <w:numId w:val="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acquire 5-year hourly data for the four cryptocurrency used.</w:t>
            </w:r>
          </w:p>
          <w:p w:rsidR="00000000" w:rsidDel="00000000" w:rsidP="00000000" w:rsidRDefault="00000000" w:rsidRPr="00000000" w14:paraId="00000025">
            <w:pPr>
              <w:numPr>
                <w:ilvl w:val="0"/>
                <w:numId w:val="1"/>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conduct dataset cleaning and preprocessing and verify timeframe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Evie</w:t>
            </w:r>
          </w:p>
        </w:tc>
      </w:tr>
      <w:tr>
        <w:trPr>
          <w:cantSplit w:val="0"/>
          <w:trHeight w:val="19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Recess Week &amp; 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numPr>
                <w:ilvl w:val="0"/>
                <w:numId w:val="1"/>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produce codes for Buy-and-Hold and SMA/RSI strategies, representing traditionally-used trading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Wen Wen</w:t>
            </w:r>
          </w:p>
        </w:tc>
      </w:tr>
      <w:tr>
        <w:trPr>
          <w:cantSplit w:val="0"/>
          <w:trHeight w:val="177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 &amp;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numPr>
                <w:ilvl w:val="0"/>
                <w:numId w:val="4"/>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ML models and conduct training, validation and testing on historical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00"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Xuande, </w:t>
            </w:r>
          </w:p>
          <w:p w:rsidR="00000000" w:rsidDel="00000000" w:rsidP="00000000" w:rsidRDefault="00000000" w:rsidRPr="00000000" w14:paraId="0000002F">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 Jie</w:t>
            </w:r>
          </w:p>
        </w:tc>
      </w:tr>
      <w:tr>
        <w:trPr>
          <w:cantSplit w:val="0"/>
          <w:trHeight w:val="1242.929687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Backtesting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numPr>
                <w:ilvl w:val="0"/>
                <w:numId w:val="2"/>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retest models with transaction fee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Wilbert</w:t>
            </w:r>
          </w:p>
        </w:tc>
      </w:tr>
      <w:tr>
        <w:trPr>
          <w:cantSplit w:val="0"/>
          <w:trHeight w:val="335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Evaluation and Presentation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numPr>
                <w:ilvl w:val="0"/>
                <w:numId w:val="3"/>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Sharpe ratios across all the strategies and all four assets.</w:t>
            </w:r>
          </w:p>
          <w:p w:rsidR="00000000" w:rsidDel="00000000" w:rsidP="00000000" w:rsidRDefault="00000000" w:rsidRPr="00000000" w14:paraId="00000037">
            <w:pPr>
              <w:numPr>
                <w:ilvl w:val="0"/>
                <w:numId w:val="3"/>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document model limitations and assumptions, and final insights and conclusions. </w:t>
            </w:r>
          </w:p>
          <w:p w:rsidR="00000000" w:rsidDel="00000000" w:rsidP="00000000" w:rsidRDefault="00000000" w:rsidRPr="00000000" w14:paraId="00000038">
            <w:pPr>
              <w:numPr>
                <w:ilvl w:val="0"/>
                <w:numId w:val="3"/>
              </w:numPr>
              <w:spacing w:after="20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w:t>
            </w:r>
            <w:r w:rsidDel="00000000" w:rsidR="00000000" w:rsidRPr="00000000">
              <w:rPr>
                <w:rFonts w:ascii="Times New Roman" w:cs="Times New Roman" w:eastAsia="Times New Roman" w:hAnsi="Times New Roman"/>
                <w:sz w:val="24"/>
                <w:szCs w:val="24"/>
                <w:rtl w:val="0"/>
              </w:rPr>
              <w:t xml:space="preserve">for draft</w:t>
            </w:r>
            <w:r w:rsidDel="00000000" w:rsidR="00000000" w:rsidRPr="00000000">
              <w:rPr>
                <w:rFonts w:ascii="Times New Roman" w:cs="Times New Roman" w:eastAsia="Times New Roman" w:hAnsi="Times New Roman"/>
                <w:sz w:val="24"/>
                <w:szCs w:val="24"/>
                <w:rtl w:val="0"/>
              </w:rPr>
              <w:t xml:space="preserve"> report and presentation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Wilbert</w:t>
            </w:r>
          </w:p>
        </w:tc>
      </w:tr>
    </w:tbl>
    <w:p w:rsidR="00000000" w:rsidDel="00000000" w:rsidP="00000000" w:rsidRDefault="00000000" w:rsidRPr="00000000" w14:paraId="0000003A">
      <w:pPr>
        <w:spacing w:after="200" w:before="20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03B">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Binance Public Data. (n.d.). </w:t>
      </w:r>
      <w:hyperlink r:id="rId7">
        <w:r w:rsidDel="00000000" w:rsidR="00000000" w:rsidRPr="00000000">
          <w:rPr>
            <w:rFonts w:ascii="Times New Roman" w:cs="Times New Roman" w:eastAsia="Times New Roman" w:hAnsi="Times New Roman"/>
            <w:color w:val="1155cc"/>
            <w:sz w:val="24"/>
            <w:szCs w:val="24"/>
            <w:u w:val="single"/>
            <w:rtl w:val="0"/>
          </w:rPr>
          <w:t xml:space="preserve">https://data.binance.vision/</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200" w:before="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Fang et al. (2022). </w:t>
      </w:r>
      <w:r w:rsidDel="00000000" w:rsidR="00000000" w:rsidRPr="00000000">
        <w:rPr>
          <w:rFonts w:ascii="Times New Roman" w:cs="Times New Roman" w:eastAsia="Times New Roman" w:hAnsi="Times New Roman"/>
          <w:i w:val="1"/>
          <w:iCs w:val="1"/>
          <w:sz w:val="24"/>
          <w:szCs w:val="24"/>
          <w:rtl w:val="0"/>
        </w:rPr>
        <w:t xml:space="preserve">Cryptocurrency trading: a comprehensive survey. </w:t>
      </w:r>
      <w:r w:rsidDel="00000000" w:rsidR="00000000" w:rsidRPr="00000000">
        <w:rPr>
          <w:rFonts w:ascii="Times New Roman" w:cs="Times New Roman" w:eastAsia="Times New Roman" w:hAnsi="Times New Roman"/>
          <w:sz w:val="24"/>
          <w:szCs w:val="24"/>
          <w:rtl w:val="0"/>
        </w:rPr>
        <w:t xml:space="preserve">Financial Innovation.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https://doi.org/10.1186/s40854-021-00321-6</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200" w:before="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Goutte et al. (2023). </w:t>
      </w:r>
      <w:r w:rsidDel="00000000" w:rsidR="00000000" w:rsidRPr="00000000">
        <w:rPr>
          <w:rFonts w:ascii="Times New Roman" w:cs="Times New Roman" w:eastAsia="Times New Roman" w:hAnsi="Times New Roman"/>
          <w:i w:val="1"/>
          <w:iCs w:val="1"/>
          <w:sz w:val="24"/>
          <w:szCs w:val="24"/>
          <w:rtl w:val="0"/>
        </w:rPr>
        <w:t xml:space="preserve">Deep learning and technical analysis </w:t>
      </w:r>
      <w:r w:rsidDel="00000000" w:rsidR="00000000" w:rsidRPr="00000000">
        <w:rPr>
          <w:rFonts w:ascii="Times New Roman" w:cs="Times New Roman" w:eastAsia="Times New Roman" w:hAnsi="Times New Roman"/>
          <w:i w:val="1"/>
          <w:iCs w:val="1"/>
          <w:sz w:val="24"/>
          <w:szCs w:val="24"/>
          <w:rtl w:val="0"/>
        </w:rPr>
        <w:t xml:space="preserve">in cryptocurrency</w:t>
      </w:r>
      <w:r w:rsidDel="00000000" w:rsidR="00000000" w:rsidRPr="00000000">
        <w:rPr>
          <w:rFonts w:ascii="Times New Roman" w:cs="Times New Roman" w:eastAsia="Times New Roman" w:hAnsi="Times New Roman"/>
          <w:i w:val="1"/>
          <w:iCs w:val="1"/>
          <w:sz w:val="24"/>
          <w:szCs w:val="24"/>
          <w:rtl w:val="0"/>
        </w:rPr>
        <w:t xml:space="preserve"> market.</w:t>
      </w:r>
      <w:r w:rsidDel="00000000" w:rsidR="00000000" w:rsidRPr="00000000">
        <w:rPr>
          <w:rFonts w:ascii="Times New Roman" w:cs="Times New Roman" w:eastAsia="Times New Roman" w:hAnsi="Times New Roman"/>
          <w:sz w:val="24"/>
          <w:szCs w:val="24"/>
          <w:rtl w:val="0"/>
        </w:rPr>
        <w:t xml:space="preserve"> Finance Research Letters.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https://doi.org/10.1016/j.frl.2023.103809</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after="200" w:before="20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00" w:before="20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00" w:before="200" w:line="480" w:lineRule="auto"/>
        <w:ind w:left="0" w:firstLine="0"/>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frl.2023.103809" TargetMode="External"/><Relationship Id="rId5" Type="http://schemas.openxmlformats.org/officeDocument/2006/relationships/styles" Target="styles.xml"/><Relationship Id="rId6" Type="http://schemas.openxmlformats.org/officeDocument/2006/relationships/hyperlink" Target="https://data.binance.vision/" TargetMode="External"/><Relationship Id="rId7" Type="http://schemas.openxmlformats.org/officeDocument/2006/relationships/hyperlink" Target="https://data.binance.vision/" TargetMode="External"/><Relationship Id="rId8" Type="http://schemas.openxmlformats.org/officeDocument/2006/relationships/hyperlink" Target="https://doi.org/10.1186/s40854-021-0032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