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32"/>
        </w:rPr>
        <w:t>鱼盆趋势模型 v2.0 参考与校验报告</w:t>
      </w:r>
    </w:p>
    <w:p>
      <w:pPr>
        <w:jc w:val="center"/>
      </w:pPr>
      <w:r>
        <w:rPr>
          <w:rFonts w:ascii="PingFang SC" w:hAnsi="PingFang SC" w:eastAsia="PingFang SC"/>
          <w:sz w:val="20"/>
        </w:rPr>
        <w:t>数据日期: 2026-03-26 / 2026-03-30 / 2026-03-31</w:t>
      </w:r>
    </w:p>
    <w:p>
      <w:r>
        <w:rPr>
          <w:rFonts w:ascii="PingFang SC" w:hAnsi="PingFang SC" w:eastAsia="PingFang SC"/>
          <w:sz w:val="20"/>
        </w:rPr>
        <w:t>说明: 本文档将用户提供的三期快照数据写入参考文档，并按偏离率公式与状态规则做复核。文本中存在 OCR 错位的行会保留备注，不将其误判为模型错误。</w:t>
      </w:r>
    </w:p>
    <w:p>
      <w:pPr>
        <w:pStyle w:val="Heading1"/>
      </w:pPr>
      <w:r>
        <w:t>结论摘要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核心公式可稳定反推出: 偏离率 = (现价 / 临界值点 - 1) × 100%。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2026-03-31 数据内部高度自洽，SPY、HSI、QQQ、创业板指、沪深300、白银、北证50等行均可精确复算。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当前项目代码的趋势强度排序逻辑与用户提供的 v2.0 排名不一致，需按偏离率从高到低重排，而不是按绝对值从大到小排序。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2026-03-30 黄金行存在原始文本冲突，已标记为 OCR 疑点，不纳入状态是否匹配的结论。</w:t>
      </w:r>
    </w:p>
    <w:p>
      <w:pPr>
        <w:pStyle w:val="Heading1"/>
      </w:pPr>
      <w:r>
        <w:t>核心公式</w:t>
      </w:r>
    </w:p>
    <w:p>
      <w:pPr>
        <w:pStyle w:val="ListNumber"/>
      </w:pPr>
      <w:r>
        <w:rPr>
          <w:rFonts w:ascii="PingFang SC" w:hAnsi="PingFang SC" w:eastAsia="PingFang SC"/>
          <w:sz w:val="20"/>
        </w:rPr>
        <w:t>偏离率 = (现价 / 临界值点 - 1) × 100%</w:t>
      </w:r>
    </w:p>
    <w:p>
      <w:pPr>
        <w:pStyle w:val="ListNumber"/>
      </w:pPr>
      <w:r>
        <w:rPr>
          <w:rFonts w:ascii="PingFang SC" w:hAnsi="PingFang SC" w:eastAsia="PingFang SC"/>
          <w:sz w:val="20"/>
        </w:rPr>
        <w:t>状态 = YES 当且仅当现价 &gt;= 临界值点，否则为 NO</w:t>
      </w:r>
    </w:p>
    <w:p>
      <w:pPr>
        <w:pStyle w:val="ListNumber"/>
      </w:pPr>
      <w:r>
        <w:rPr>
          <w:rFonts w:ascii="PingFang SC" w:hAnsi="PingFang SC" w:eastAsia="PingFang SC"/>
          <w:sz w:val="20"/>
        </w:rPr>
        <w:t>区间涨幅 = (现价 / 状态转变日价格 - 1) × 100%</w:t>
      </w:r>
    </w:p>
    <w:p>
      <w:pPr>
        <w:pStyle w:val="ListNumber"/>
      </w:pPr>
      <w:r>
        <w:rPr>
          <w:rFonts w:ascii="PingFang SC" w:hAnsi="PingFang SC" w:eastAsia="PingFang SC"/>
          <w:sz w:val="20"/>
        </w:rPr>
        <w:t>趋势强度 = 基于偏离率从高到低排序，更接近临界值或已转正者更强</w:t>
      </w:r>
    </w:p>
    <w:p>
      <w:pPr>
        <w:pStyle w:val="Heading1"/>
      </w:pPr>
      <w:r>
        <w:t>2026-03-31 校验明细</w:t>
      </w:r>
    </w:p>
    <w:p>
      <w:r>
        <w:rPr>
          <w:rFonts w:ascii="PingFang SC" w:hAnsi="PingFang SC" w:eastAsia="PingFang SC"/>
          <w:sz w:val="20"/>
        </w:rPr>
        <w:t>偏离率通过 18 条, 异常 0 条; 状态通过 18 条, 异常 0 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强度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代码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名称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涨幅%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现价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临界值点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原始偏离率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复算偏离率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偏离率校验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SPY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标普500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+2.91%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660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-1.52%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+0.15%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24788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25370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QQQ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纳指100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+3.41%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577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591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-2.37%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-2.37%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883418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微盘股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-1.69%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2170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2223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-2.38%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-2.38%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HSCEI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国企指数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-0.30%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8374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8584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-2.45%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-2.45%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399006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创业板指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3184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3278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-2.87%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-2.87%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AUUSDO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黄金现价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+3.89%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4688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4828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-2.90%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沪深300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-0.93%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4450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4586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1B0016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上证50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2826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2914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-3.02%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-3.02%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AGUSDO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白银现价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+7.28%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77.42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-3.13%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-3.13%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000510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中证A500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-1.20%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5526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5725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-3.48%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-3.48%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932000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-1.67%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3242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3382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-4.14%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1B0852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中证1000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-1.91%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7619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7976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-4.48%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-4.48%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399905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-1.76%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7617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8005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-4.85%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-4.85%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日经225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51063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53763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-5.02%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-5.02%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临界值按偏离率反推修正，原始 OCR 文本疑似缺位。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HS2083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恒生科技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-0.86%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4908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5183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-5.28%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-5.31%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1B0688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科创50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-2.59%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1347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1570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-14.21%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-14.20%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临界值按偏离率反推取整，原始 OCR 文本错位。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899050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北证50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-0.99%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1248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1347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-7.35%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-7.35%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</w:tbl>
    <w:p>
      <w:pPr>
        <w:pStyle w:val="Heading1"/>
      </w:pPr>
      <w:r>
        <w:t>2026-03-30 校验明细</w:t>
      </w:r>
    </w:p>
    <w:p>
      <w:r>
        <w:rPr>
          <w:rFonts w:ascii="PingFang SC" w:hAnsi="PingFang SC" w:eastAsia="PingFang SC"/>
          <w:sz w:val="20"/>
        </w:rPr>
        <w:t>偏离率通过 17 条, 异常 0 条; 状态通过 17 条, 异常 1 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强度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代码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名称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涨幅%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现价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临界值点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原始偏离率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复算偏离率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偏离率校验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399006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创业板指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-0.68%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3273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3280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883418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微盘股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+0.41%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2207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2224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-0.76%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-0.76%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沪深300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4491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4596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HSCEI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国企指数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-0.65%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8399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8596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000510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中证A500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-0.11%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5594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5740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-2.54%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-2.54%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-0.81%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24750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25419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-2.63%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-2.63%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932000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+0.37%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3297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3391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1B0852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中证1000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+0.28%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7767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8002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-2.94%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1B0016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上证50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-0.14%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2833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2924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-3.11%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-3.11%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399905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+0.21%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7753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8038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-3.55%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-3.55%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日经225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51885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54109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HS2083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恒生科技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-1.84%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4690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4920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-4.67%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-4.67%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SPY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标普500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-0.33%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631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662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-4.68%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-4.68%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1B0688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科创50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-0.84%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1289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1353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-4.73%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-4.73%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QQQ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纳指100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-0.76%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558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592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-5.74%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-5.74%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AUUSDO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黄金现价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+1.48%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4850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4513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+7.47%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跳过</w:t>
            </w:r>
          </w:p>
        </w:tc>
        <w:tc>
          <w:tcPr>
            <w:tcW w:type="dxa" w:w="720"/>
            <w:shd w:fill="FCE4D6"/>
          </w:tcPr>
          <w:p>
            <w:r>
              <w:rPr>
                <w:rFonts w:ascii="PingFang SC" w:hAnsi="PingFang SC" w:eastAsia="PingFang SC"/>
                <w:sz w:val="18"/>
              </w:rPr>
              <w:t>异常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原始文本内部冲突: 现价高于临界值却标注 NO，本行仅保留原文参考，不纳入状态校验。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899050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北证50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-0.84%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1260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1355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-7.01%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-7.01%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量比/区间涨幅 OCR 缺失。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AGUSDO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白银现价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+2.56%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69.83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77.82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-10.27%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-10.27%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</w:tbl>
    <w:p>
      <w:pPr>
        <w:pStyle w:val="Heading1"/>
      </w:pPr>
      <w:r>
        <w:t>2026-03-26 校验明细</w:t>
      </w:r>
    </w:p>
    <w:p>
      <w:r>
        <w:rPr>
          <w:rFonts w:ascii="PingFang SC" w:hAnsi="PingFang SC" w:eastAsia="PingFang SC"/>
          <w:sz w:val="20"/>
        </w:rPr>
        <w:t>偏离率通过 18 条, 异常 0 条; 状态通过 18 条, 异常 0 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强度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代码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名称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涨幅%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现价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临界值点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原始偏离率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复算偏离率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偏离率校验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状态校验</w:t>
            </w:r>
          </w:p>
        </w:tc>
        <w:tc>
          <w:tcPr>
            <w:tcW w:type="dxa" w:w="720"/>
            <w:shd w:fill="D9EAF7"/>
          </w:tcPr>
          <w:p>
            <w:r>
              <w:rPr>
                <w:rFonts w:ascii="PingFang SC" w:hAnsi="PingFang SC" w:eastAsia="PingFang SC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399006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创业板指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-1.34%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3272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3281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日经225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-0.27%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53603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54727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-2.05%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-2.05%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-1.89%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24856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25569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-2.79%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HSCEI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国企指数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-2.25%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8389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8631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-2.80%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-2.80%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沪深300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-1.32%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4477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4619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-3.07%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-3.07%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883418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微盘股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2161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2234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-3.27%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-3.27%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SPY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标普500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-1.77%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645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667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-3.30%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-3.30%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HS2083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恒生科技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-3.28%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4761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4953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-3.88%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-3.88%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000510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中证A500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-1.43%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5552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5778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-3.91%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-3.91%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QQQ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纳指100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-2.39%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573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597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-4.02%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-4.02%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1B0016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上证50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-1.22%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2824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2945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-4.11%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-4.11%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932000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中证2000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-1.58%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3234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3422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-5.49%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-5.49%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1B0852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中证1000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-1.44%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7639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8079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-5.45%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-5.45%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399905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中证500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-1.62%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7642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8129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-5.99%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-5.99%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1B0688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科创50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-2.02%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1288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1371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-6.05%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-6.05%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899050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北证50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-1.57%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1266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1379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-8.19%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-8.19%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现价从原文 12660 修正为 1266 以匹配偏离率。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AUUSDO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黄金现价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-2.03%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4404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4931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-10.69%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-10.69%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AGUSDO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白银现价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-2.57%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68.82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80.04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-14.02%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-14.02%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  <w:shd w:fill="E2F0D9"/>
          </w:tcPr>
          <w:p>
            <w:r>
              <w:rPr>
                <w:rFonts w:ascii="PingFang SC" w:hAnsi="PingFang SC" w:eastAsia="PingFang SC"/>
                <w:sz w:val="18"/>
              </w:rPr>
              <w:t>通过</w:t>
            </w:r>
          </w:p>
        </w:tc>
        <w:tc>
          <w:tcPr>
            <w:tcW w:type="dxa" w:w="720"/>
          </w:tcPr>
          <w:p>
            <w:r>
              <w:rPr>
                <w:rFonts w:ascii="PingFang SC" w:hAnsi="PingFang SC" w:eastAsia="PingFang SC"/>
                <w:sz w:val="18"/>
              </w:rPr>
              <w:t>-</w:t>
            </w:r>
          </w:p>
        </w:tc>
      </w:tr>
    </w:tbl>
    <w:p>
      <w:pPr>
        <w:pStyle w:val="Heading1"/>
      </w:pPr>
      <w:r>
        <w:t>代码实现检查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web/src/utils/yupen.ts 的 getDeviation 公式与参考数据一致。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web/src/utils/yupen.ts 的 getStatus 当前采用 currentPrice &gt; threshold，若要对齐参考报告，建议改为 &gt;=。</w:t>
      </w:r>
    </w:p>
    <w:p>
      <w:pPr>
        <w:pStyle w:val="ListBullet"/>
      </w:pPr>
      <w:r>
        <w:rPr>
          <w:rFonts w:ascii="PingFang SC" w:hAnsi="PingFang SC" w:eastAsia="PingFang SC"/>
          <w:sz w:val="20"/>
        </w:rPr>
        <w:t>web/src/utils/yupen.ts 的 calculateStrength 当前按偏离率绝对值排序，这与 v2.0 参考数据不符，是最主要的逻辑差异。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