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C-Max I monovolum 2003–2010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C-Max II Grand monovolum 5 locuri 2010–2019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EcoSport facelift din 2017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EcoSport din 2014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Escape I 2000–2007 / Mazda Tribute I 2000–2007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Escape II – bancheta spate din 2 bucăți 2007–2012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Escape III 2012–2019 (vezi secțiunea Ford Kuga II)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Explorer IV 2005–2010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Explorer V 2010–2019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Fiesta V hatchback 2001–2008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Fiesta VI sedan/hatchback din 2008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Focus I sedan/hatchback/universal 1998–2005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Focus II Comfort sedan/hatchback/universal 2005–2011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Focus II Ghia / Titanium sedan/hatchback/universal 2005–2011 / Ford Kuga I Trend 2008–2013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Focus III Ambiente / Trend sedan/hatchback/universal din 2011 (fără cotieră în spate)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Focus III Sport / Titanium sedan/hatchback/universal din 2011 (cu cotieră în spate)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Focus IV universal din 2018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Fusion hatchback 2002–2012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Galaxy I 1995–2005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Galaxy II 2006–2015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Ka I 1996–2008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Kuga I Titanium 2008–2013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Kuga II 2012–2019 / Ford Escape III 2012–2019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Mondeo III sedan 2000–2007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Mondeo III universal 2000–2007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Mondeo IV sedan/hatchback/universal 2007–2014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Mondeo IV Titanium sedan/hatchback/universal 2007–2014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Mondeo V Titanium din 2015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Ranger II 2006–2012 (vezi secțiunea Mazda BT-50)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S-Max I monovolum 2006–2015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S-Max II monovolum din 2015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Tourneo I (2 locuri) 2003–2013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Tourneo I (5 locuri) 2003–2013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Transit VII (3 locuri) 2006–2015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Transit VII (9 locuri) 2006–2015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Transit VIII (3 locuri) din 2014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Ford Transit VIII (9 locuri) din 2014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